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60"/>
      </w:pPr>
      <w:r>
        <w:rPr>
          <w:b/>
          <w:bCs/>
          <w:color w:val="173F35"/>
          <w:sz w:val="40"/>
          <w:szCs w:val="40"/>
          <w:rFonts w:ascii="Calibri" w:cs="Calibri" w:eastAsia="Calibri" w:hAnsi="Calibri"/>
        </w:rPr>
        <w:t xml:space="preserve">Proximate Fund</w:t>
      </w:r>
    </w:p>
    <w:p>
      <w:pPr>
        <w:pBdr>
          <w:bottom w:val="single" w:color="DBE9AA" w:sz="18" w:space="6"/>
        </w:pBdr>
        <w:spacing w:after="240"/>
      </w:pPr>
      <w:r>
        <w:rPr>
          <w:color w:val="225648"/>
          <w:sz w:val="22"/>
          <w:szCs w:val="22"/>
          <w:rFonts w:ascii="Calibri" w:cs="Calibri" w:eastAsia="Calibri" w:hAnsi="Calibri"/>
        </w:rPr>
        <w:t xml:space="preserve">Platform Update — UI/UX &amp; workflow QA response, 3 August 2026</w:t>
      </w:r>
    </w:p>
    <w:p>
      <w:pPr>
        <w:spacing w:after="120" w:line="264"/>
      </w:pPr>
      <w:r>
        <w:rPr>
          <w:color w:val="5B6560"/>
          <w:sz w:val="18"/>
          <w:szCs w:val="18"/>
          <w:rFonts w:ascii="Calibri" w:cs="Calibri" w:eastAsia="Calibri" w:hAnsi="Calibri"/>
        </w:rPr>
        <w:t xml:space="preserve">For the Adeso / Proximate team  ·  3 August 2026  ·  Live: </w:t>
      </w:r>
      <w:r>
        <w:rPr>
          <w:b/>
          <w:bCs/>
          <w:color w:val="225648"/>
          <w:sz w:val="18"/>
          <w:szCs w:val="18"/>
          <w:rFonts w:ascii="Calibri" w:cs="Calibri" w:eastAsia="Calibri" w:hAnsi="Calibri"/>
        </w:rPr>
        <w:t xml:space="preserve">web-production-6f8a.up.railway.app</w:t>
      </w:r>
    </w:p>
    <w:tbl>
      <w:tblPr>
        <w:tblW w:type="pct" w:w="100%"/>
        <w:tblBorders>
          <w:top w:val="single" w:color="CFDBC7" w:sz="6"/>
          <w:left w:val="single" w:color="CFDBC7" w:sz="6"/>
          <w:bottom w:val="single" w:color="CFDBC7" w:sz="6"/>
          <w:right w:val="single" w:color="CFDBC7" w:sz="6"/>
          <w:insideH w:val="single" w:color="CFDBC7" w:sz="6"/>
          <w:insideV w:val="single" w:color="CFDBC7" w:sz="6"/>
        </w:tblBorders>
      </w:tblPr>
      <w:tblGrid>
        <w:gridCol w:w="100"/>
      </w:tblGrid>
      <w:tr>
        <w:tc>
          <w:tcPr>
            <w:shd w:fill="EDF2E8" w:color="auto" w:val="clear"/>
            <w:tcMar>
              <w:top w:type="dxa" w:w="120"/>
              <w:left w:type="dxa" w:w="160"/>
              <w:bottom w:type="dxa" w:w="120"/>
              <w:right w:type="dxa" w:w="160"/>
            </w:tcMar>
          </w:tcPr>
          <w:p>
            <w:pPr>
              <w:spacing w:after="40"/>
            </w:pPr>
            <w:r>
              <w:rPr>
                <w:b/>
                <w:bCs/>
                <w:color w:val="173F35"/>
                <w:sz w:val="21"/>
                <w:szCs w:val="21"/>
                <w:rFonts w:ascii="Calibri" w:cs="Calibri" w:eastAsia="Calibri" w:hAnsi="Calibri"/>
              </w:rPr>
              <w:t xml:space="preserve">The short version</w:t>
            </w:r>
          </w:p>
          <w:p>
            <w:r>
              <w:rPr>
                <w:color w:val="1C2925"/>
                <w:sz w:val="20"/>
                <w:szCs w:val="20"/>
                <w:rFonts w:ascii="Calibri" w:cs="Calibri" w:eastAsia="Calibri" w:hAnsi="Calibri"/>
              </w:rPr>
              <w:t xml:space="preserve">The operations review raised fourteen items. Six are built, tested and deployed today; eight remain open, and one of those is deliberately blocked pending a question back to the reviewer. Two of the six came out differently from the ticket as written, because checking the code first showed the diagnosis was aimed at the wrong screen — those are explained in full below rather than quietly changed. The three big page restructures are NOT built, and this document argues they should be shaped in a room with Khalid and Marwa rather than built from a specification.</w:t>
            </w:r>
          </w:p>
        </w:tc>
      </w:tr>
    </w:tbl>
    <w:p>
      <w:r>
        <w:br w:type="page"/>
      </w:r>
    </w:p>
    <w:p>
      <w:pPr>
        <w:pStyle w:val="Heading1"/>
        <w:spacing w:before="300" w:after="100"/>
      </w:pPr>
      <w:r>
        <w:rPr>
          <w:b/>
          <w:bCs/>
          <w:color w:val="173F35"/>
          <w:sz w:val="28"/>
          <w:szCs w:val="28"/>
          <w:rFonts w:ascii="Calibri" w:cs="Calibri" w:eastAsia="Calibri" w:hAnsi="Calibri"/>
        </w:rPr>
        <w:t xml:space="preserve">1.  What changed today</w:t>
      </w:r>
    </w:p>
    <w:p>
      <w:pPr>
        <w:spacing w:after="120" w:line="264"/>
      </w:pPr>
      <w:r>
        <w:rPr>
          <w:color w:val="1C2925"/>
          <w:sz w:val="21"/>
          <w:szCs w:val="21"/>
          <w:rFonts w:ascii="Calibri" w:cs="Calibri" w:eastAsia="Calibri" w:hAnsi="Calibri"/>
        </w:rPr>
        <w:t xml:space="preserve">Six items, all live. Each was verified against the running system rather than assumed — how, is in section 4.</w:t>
      </w:r>
    </w:p>
    <w:tbl>
      <w:tblPr>
        <w:tblW w:type="pct" w:w="100%"/>
        <w:tblBorders>
          <w:top w:val="single" w:color="D7DDD7" w:sz="4"/>
          <w:left w:val="single" w:color="D7DDD7" w:sz="4"/>
          <w:bottom w:val="single" w:color="D7DDD7" w:sz="4"/>
          <w:right w:val="single" w:color="D7DDD7" w:sz="4"/>
          <w:insideH w:val="single" w:color="D7DDD7" w:sz="4"/>
          <w:insideV w:val="single" w:color="D7DDD7" w:sz="4"/>
        </w:tblBorders>
      </w:tblPr>
      <w:tblGrid>
        <w:gridCol w:w="3264"/>
        <w:gridCol w:w="6336"/>
      </w:tblGrid>
      <w:tr>
        <w:trPr>
          <w:tblHeader/>
        </w:trPr>
        <w:tc>
          <w:tcPr>
            <w:tcW w:type="pct" w:w="34%"/>
            <w:shd w:fill="173F35" w:color="auto" w:val="clear"/>
            <w:tcMar>
              <w:top w:type="dxa" w:w="70"/>
              <w:left w:type="dxa" w:w="90"/>
              <w:bottom w:type="dxa" w:w="70"/>
              <w:right w:type="dxa" w:w="90"/>
            </w:tcMar>
            <w:vAlign w:val="center"/>
          </w:tcPr>
          <w:p>
            <w:pPr>
              <w:jc w:val="left"/>
            </w:pPr>
            <w:r>
              <w:rPr>
                <w:b/>
                <w:bCs/>
                <w:color w:val="FFFFFF"/>
                <w:sz w:val="17"/>
                <w:szCs w:val="17"/>
                <w:rFonts w:ascii="Calibri" w:cs="Calibri" w:eastAsia="Calibri" w:hAnsi="Calibri"/>
              </w:rPr>
              <w:t xml:space="preserve">What you will notice</w:t>
            </w:r>
          </w:p>
        </w:tc>
        <w:tc>
          <w:tcPr>
            <w:tcW w:type="pct" w:w="66%"/>
            <w:shd w:fill="173F35" w:color="auto" w:val="clear"/>
            <w:tcMar>
              <w:top w:type="dxa" w:w="70"/>
              <w:left w:type="dxa" w:w="90"/>
              <w:bottom w:type="dxa" w:w="70"/>
              <w:right w:type="dxa" w:w="90"/>
            </w:tcMar>
            <w:vAlign w:val="center"/>
          </w:tcPr>
          <w:p>
            <w:pPr>
              <w:jc w:val="center"/>
            </w:pPr>
            <w:r>
              <w:rPr>
                <w:b/>
                <w:bCs/>
                <w:color w:val="FFFFFF"/>
                <w:sz w:val="17"/>
                <w:szCs w:val="17"/>
                <w:rFonts w:ascii="Calibri" w:cs="Calibri" w:eastAsia="Calibri" w:hAnsi="Calibri"/>
              </w:rPr>
              <w:t xml:space="preserve">Detail</w:t>
            </w:r>
          </w:p>
        </w:tc>
      </w:tr>
      <w:tr>
        <w:tc>
          <w:tcPr>
            <w:tcW w:type="pct" w:w="34%"/>
            <w:tcMar>
              <w:top w:type="dxa" w:w="60"/>
              <w:left w:type="dxa" w:w="90"/>
              <w:bottom w:type="dxa" w:w="60"/>
              <w:right w:type="dxa" w:w="90"/>
            </w:tcMar>
            <w:vAlign w:val="center"/>
          </w:tcPr>
          <w:p>
            <w:pPr>
              <w:jc w:val="left"/>
            </w:pPr>
            <w:r>
              <w:rPr>
                <w:b/>
                <w:bCs/>
                <w:color w:val="225648"/>
                <w:sz w:val="17"/>
                <w:szCs w:val="17"/>
                <w:rFonts w:ascii="Calibri" w:cs="Calibri" w:eastAsia="Calibri" w:hAnsi="Calibri"/>
              </w:rPr>
              <w:t xml:space="preserve">Only one menu item highlights at a time</w:t>
            </w:r>
          </w:p>
        </w:tc>
        <w:tc>
          <w:tcPr>
            <w:tcW w:type="pct" w:w="66%"/>
            <w:tcMar>
              <w:top w:type="dxa" w:w="60"/>
              <w:left w:type="dxa" w:w="90"/>
              <w:bottom w:type="dxa" w:w="60"/>
              <w:right w:type="dxa" w:w="90"/>
            </w:tcMar>
            <w:vAlign w:val="center"/>
          </w:tcPr>
          <w:p>
            <w:pPr>
              <w:jc w:val="left"/>
            </w:pPr>
            <w:r>
              <w:rPr>
                <w:color w:val="1C2925"/>
                <w:sz w:val="17"/>
                <w:szCs w:val="17"/>
                <w:rFonts w:ascii="Calibri" w:cs="Calibri" w:eastAsia="Calibri" w:hAnsi="Calibri"/>
              </w:rPr>
              <w:t xml:space="preserve">Opening Partners used to leave Dashboard highlighted as well, so you could not tell which section you were in. Fixed — and the same fault was waiting on Endorsers and Messages, so those are fixed too.</w:t>
            </w:r>
          </w:p>
        </w:tc>
      </w:tr>
      <w:tr>
        <w:tc>
          <w:tcPr>
            <w:tcW w:type="pct" w:w="34%"/>
            <w:tcMar>
              <w:top w:type="dxa" w:w="60"/>
              <w:left w:type="dxa" w:w="90"/>
              <w:bottom w:type="dxa" w:w="60"/>
              <w:right w:type="dxa" w:w="90"/>
            </w:tcMar>
            <w:vAlign w:val="center"/>
          </w:tcPr>
          <w:p>
            <w:pPr>
              <w:jc w:val="left"/>
            </w:pPr>
            <w:r>
              <w:rPr>
                <w:b/>
                <w:bCs/>
                <w:color w:val="225648"/>
                <w:sz w:val="17"/>
                <w:szCs w:val="17"/>
                <w:rFonts w:ascii="Calibri" w:cs="Calibri" w:eastAsia="Calibri" w:hAnsi="Calibri"/>
              </w:rPr>
              <w:t xml:space="preserve">Test records are out of the way</w:t>
            </w:r>
          </w:p>
        </w:tc>
        <w:tc>
          <w:tcPr>
            <w:tcW w:type="pct" w:w="66%"/>
            <w:tcMar>
              <w:top w:type="dxa" w:w="60"/>
              <w:left w:type="dxa" w:w="90"/>
              <w:bottom w:type="dxa" w:w="60"/>
              <w:right w:type="dxa" w:w="90"/>
            </w:tcMar>
            <w:vAlign w:val="center"/>
          </w:tcPr>
          <w:p>
            <w:pPr>
              <w:jc w:val="left"/>
            </w:pPr>
            <w:r>
              <w:rPr>
                <w:color w:val="1C2925"/>
                <w:sz w:val="17"/>
                <w:szCs w:val="17"/>
                <w:rFonts w:ascii="Calibri" w:cs="Calibri" w:eastAsia="Calibri" w:hAnsi="Calibri"/>
              </w:rPr>
              <w:t xml:space="preserve">QA Fixture, UAT and demo rows are hidden by default on both the Partners register and the Disbursements list. A button tells you how many are hidden and brings them back in one click. Nothing is deleted.</w:t>
            </w:r>
          </w:p>
        </w:tc>
      </w:tr>
      <w:tr>
        <w:tc>
          <w:tcPr>
            <w:tcW w:type="pct" w:w="34%"/>
            <w:tcMar>
              <w:top w:type="dxa" w:w="60"/>
              <w:left w:type="dxa" w:w="90"/>
              <w:bottom w:type="dxa" w:w="60"/>
              <w:right w:type="dxa" w:w="90"/>
            </w:tcMar>
            <w:vAlign w:val="center"/>
          </w:tcPr>
          <w:p>
            <w:pPr>
              <w:jc w:val="left"/>
            </w:pPr>
            <w:r>
              <w:rPr>
                <w:b/>
                <w:bCs/>
                <w:color w:val="225648"/>
                <w:sz w:val="17"/>
                <w:szCs w:val="17"/>
                <w:rFonts w:ascii="Calibri" w:cs="Calibri" w:eastAsia="Calibri" w:hAnsi="Calibri"/>
              </w:rPr>
              <w:t xml:space="preserve">Country and State are now proper dropdowns</w:t>
            </w:r>
          </w:p>
        </w:tc>
        <w:tc>
          <w:tcPr>
            <w:tcW w:type="pct" w:w="66%"/>
            <w:tcMar>
              <w:top w:type="dxa" w:w="60"/>
              <w:left w:type="dxa" w:w="90"/>
              <w:bottom w:type="dxa" w:w="60"/>
              <w:right w:type="dxa" w:w="90"/>
            </w:tcMar>
            <w:vAlign w:val="center"/>
          </w:tcPr>
          <w:p>
            <w:pPr>
              <w:jc w:val="left"/>
            </w:pPr>
            <w:r>
              <w:rPr>
                <w:color w:val="1C2925"/>
                <w:sz w:val="17"/>
                <w:szCs w:val="17"/>
                <w:rFonts w:ascii="Calibri" w:cs="Calibri" w:eastAsia="Calibri" w:hAnsi="Calibri"/>
              </w:rPr>
              <w:t xml:space="preserve">Sudan's 18 states are a fixed list on the nomination form. Choosing a different country clears the state, so a record can never end up saying “Blue Nile, Chad”.</w:t>
            </w:r>
          </w:p>
        </w:tc>
      </w:tr>
      <w:tr>
        <w:tc>
          <w:tcPr>
            <w:tcW w:type="pct" w:w="34%"/>
            <w:tcMar>
              <w:top w:type="dxa" w:w="60"/>
              <w:left w:type="dxa" w:w="90"/>
              <w:bottom w:type="dxa" w:w="60"/>
              <w:right w:type="dxa" w:w="90"/>
            </w:tcMar>
            <w:vAlign w:val="center"/>
          </w:tcPr>
          <w:p>
            <w:pPr>
              <w:jc w:val="left"/>
            </w:pPr>
            <w:r>
              <w:rPr>
                <w:b/>
                <w:bCs/>
                <w:color w:val="225648"/>
                <w:sz w:val="17"/>
                <w:szCs w:val="17"/>
                <w:rFonts w:ascii="Calibri" w:cs="Calibri" w:eastAsia="Calibri" w:hAnsi="Calibri"/>
              </w:rPr>
              <w:t xml:space="preserve">Bank details are tucked away at nomination</w:t>
            </w:r>
          </w:p>
        </w:tc>
        <w:tc>
          <w:tcPr>
            <w:tcW w:type="pct" w:w="66%"/>
            <w:tcMar>
              <w:top w:type="dxa" w:w="60"/>
              <w:left w:type="dxa" w:w="90"/>
              <w:bottom w:type="dxa" w:w="60"/>
              <w:right w:type="dxa" w:w="90"/>
            </w:tcMar>
            <w:vAlign w:val="center"/>
          </w:tcPr>
          <w:p>
            <w:pPr>
              <w:jc w:val="left"/>
            </w:pPr>
            <w:r>
              <w:rPr>
                <w:color w:val="1C2925"/>
                <w:sz w:val="17"/>
                <w:szCs w:val="17"/>
                <w:rFonts w:ascii="Calibri" w:cs="Calibri" w:eastAsia="Calibri" w:hAnsi="Calibri"/>
              </w:rPr>
              <w:t xml:space="preserve">On the staff nomination form the bank block is collapsed by default, with the reason on screen. One click opens it for a partner already through due diligence.</w:t>
            </w:r>
          </w:p>
        </w:tc>
      </w:tr>
      <w:tr>
        <w:tc>
          <w:tcPr>
            <w:tcW w:type="pct" w:w="34%"/>
            <w:tcMar>
              <w:top w:type="dxa" w:w="60"/>
              <w:left w:type="dxa" w:w="90"/>
              <w:bottom w:type="dxa" w:w="60"/>
              <w:right w:type="dxa" w:w="90"/>
            </w:tcMar>
            <w:vAlign w:val="center"/>
          </w:tcPr>
          <w:p>
            <w:pPr>
              <w:jc w:val="left"/>
            </w:pPr>
            <w:r>
              <w:rPr>
                <w:b/>
                <w:bCs/>
                <w:color w:val="225648"/>
                <w:sz w:val="17"/>
                <w:szCs w:val="17"/>
                <w:rFonts w:ascii="Calibri" w:cs="Calibri" w:eastAsia="Calibri" w:hAnsi="Calibri"/>
              </w:rPr>
              <w:t xml:space="preserve">Due dates do the arithmetic for you</w:t>
            </w:r>
          </w:p>
        </w:tc>
        <w:tc>
          <w:tcPr>
            <w:tcW w:type="pct" w:w="66%"/>
            <w:tcMar>
              <w:top w:type="dxa" w:w="60"/>
              <w:left w:type="dxa" w:w="90"/>
              <w:bottom w:type="dxa" w:w="60"/>
              <w:right w:type="dxa" w:w="90"/>
            </w:tcMar>
            <w:vAlign w:val="center"/>
          </w:tcPr>
          <w:p>
            <w:pPr>
              <w:jc w:val="left"/>
            </w:pPr>
            <w:r>
              <w:rPr>
                <w:color w:val="1C2925"/>
                <w:sz w:val="17"/>
                <w:szCs w:val="17"/>
                <w:rFonts w:ascii="Calibri" w:cs="Calibri" w:eastAsia="Calibri" w:hAnsi="Calibri"/>
              </w:rPr>
              <w:t xml:space="preserve">A disbursement row now reads “due 15 Aug (8 days overdue)” in red, or “due in 12 days”, instead of leaving you to work it out.</w:t>
            </w:r>
          </w:p>
        </w:tc>
      </w:tr>
      <w:tr>
        <w:tc>
          <w:tcPr>
            <w:tcW w:type="pct" w:w="34%"/>
            <w:tcMar>
              <w:top w:type="dxa" w:w="60"/>
              <w:left w:type="dxa" w:w="90"/>
              <w:bottom w:type="dxa" w:w="60"/>
              <w:right w:type="dxa" w:w="90"/>
            </w:tcMar>
            <w:vAlign w:val="center"/>
          </w:tcPr>
          <w:p>
            <w:pPr>
              <w:jc w:val="left"/>
            </w:pPr>
            <w:r>
              <w:rPr>
                <w:b/>
                <w:bCs/>
                <w:color w:val="225648"/>
                <w:sz w:val="17"/>
                <w:szCs w:val="17"/>
                <w:rFonts w:ascii="Calibri" w:cs="Calibri" w:eastAsia="Calibri" w:hAnsi="Calibri"/>
              </w:rPr>
              <w:t xml:space="preserve">The copy button says what it copies</w:t>
            </w:r>
          </w:p>
        </w:tc>
        <w:tc>
          <w:tcPr>
            <w:tcW w:type="pct" w:w="66%"/>
            <w:tcMar>
              <w:top w:type="dxa" w:w="60"/>
              <w:left w:type="dxa" w:w="90"/>
              <w:bottom w:type="dxa" w:w="60"/>
              <w:right w:type="dxa" w:w="90"/>
            </w:tcMar>
            <w:vAlign w:val="center"/>
          </w:tcPr>
          <w:p>
            <w:pPr>
              <w:jc w:val="left"/>
            </w:pPr>
            <w:r>
              <w:rPr>
                <w:color w:val="1C2925"/>
                <w:sz w:val="17"/>
                <w:szCs w:val="17"/>
                <w:rFonts w:ascii="Calibri" w:cs="Calibri" w:eastAsia="Calibri" w:hAnsi="Calibri"/>
              </w:rPr>
              <w:t xml:space="preserve">“Copy partner link” is now “Copy report link”, because that is the only thing it has ever copied.</w:t>
            </w:r>
          </w:p>
        </w:tc>
      </w:tr>
    </w:tbl>
    <w:p>
      <w:r>
        <w:br w:type="page"/>
      </w:r>
    </w:p>
    <w:p>
      <w:pPr>
        <w:pStyle w:val="Heading1"/>
        <w:spacing w:before="300" w:after="100"/>
      </w:pPr>
      <w:r>
        <w:rPr>
          <w:b/>
          <w:bCs/>
          <w:color w:val="173F35"/>
          <w:sz w:val="28"/>
          <w:szCs w:val="28"/>
          <w:rFonts w:ascii="Calibri" w:cs="Calibri" w:eastAsia="Calibri" w:hAnsi="Calibri"/>
        </w:rPr>
        <w:t xml:space="preserve">2.  Where we differed from the feedback, and why</w:t>
      </w:r>
    </w:p>
    <w:p>
      <w:pPr>
        <w:spacing w:after="120" w:line="264"/>
      </w:pPr>
      <w:r>
        <w:rPr>
          <w:color w:val="1C2925"/>
          <w:sz w:val="21"/>
          <w:szCs w:val="21"/>
          <w:rFonts w:ascii="Calibri" w:cs="Calibri" w:eastAsia="Calibri" w:hAnsi="Calibri"/>
        </w:rPr>
        <w:t xml:space="preserve">Five places. In each case the underlying observation was fair; what changed was the diagnosis, and therefore the fix. We are writing these out in full because a QA note that gets silently reinterpreted stops being useful to the person who wrote it.</w:t>
      </w:r>
    </w:p>
    <w:p>
      <w:pPr>
        <w:spacing w:after="40"/>
      </w:pPr>
    </w:p>
    <w:p>
      <w:pPr>
        <w:pStyle w:val="Heading3"/>
        <w:spacing w:before="140" w:after="50"/>
      </w:pPr>
      <w:r>
        <w:rPr>
          <w:b/>
          <w:bCs/>
          <w:color w:val="1C2925"/>
          <w:sz w:val="22"/>
          <w:szCs w:val="22"/>
          <w:rFonts w:ascii="Calibri" w:cs="Calibri" w:eastAsia="Calibri" w:hAnsi="Calibri"/>
        </w:rPr>
        <w:t xml:space="preserve">2.1  Bank details — right instinct, wrong screen</w:t>
      </w:r>
    </w:p>
    <w:p>
      <w:pPr>
        <w:spacing w:after="120" w:line="264"/>
      </w:pPr>
      <w:r>
        <w:rPr>
          <w:b/>
          <w:bCs/>
          <w:color w:val="1C2925"/>
          <w:sz w:val="21"/>
          <w:szCs w:val="21"/>
          <w:rFonts w:ascii="Calibri" w:cs="Calibri" w:eastAsia="Calibri" w:hAnsi="Calibri"/>
        </w:rPr>
        <w:t xml:space="preserve">The ticket said: </w:t>
      </w:r>
      <w:r>
        <w:rPr>
          <w:color w:val="1C2925"/>
          <w:sz w:val="21"/>
          <w:szCs w:val="21"/>
          <w:rFonts w:ascii="Calibri" w:cs="Calibri" w:eastAsia="Calibri" w:hAnsi="Calibri"/>
        </w:rPr>
        <w:t xml:space="preserve">remove banking fields from the first-stage nomination form, because collecting them early implies to partners that funding is guaranteed.</w:t>
      </w:r>
    </w:p>
    <w:p>
      <w:pPr>
        <w:spacing w:after="120" w:line="264"/>
      </w:pPr>
      <w:r>
        <w:rPr>
          <w:b/>
          <w:bCs/>
          <w:color w:val="1C2925"/>
          <w:sz w:val="21"/>
          <w:szCs w:val="21"/>
          <w:rFonts w:ascii="Calibri" w:cs="Calibri" w:eastAsia="Calibri" w:hAnsi="Calibri"/>
        </w:rPr>
        <w:t xml:space="preserve">What we found: </w:t>
      </w:r>
      <w:r>
        <w:rPr>
          <w:color w:val="1C2925"/>
          <w:sz w:val="21"/>
          <w:szCs w:val="21"/>
          <w:rFonts w:ascii="Calibri" w:cs="Calibri" w:eastAsia="Calibri" w:hAnsi="Calibri"/>
        </w:rPr>
        <w:t xml:space="preserve">there are TWO nomination forms. The partner-facing one carries no bank fields at all and says so on the page — “No bank details are asked on this form.” The form with account holder, account number and bank name is the SECRETARIAT form, which only Adeso staff can reach. Partners never see it.</w:t>
      </w:r>
    </w:p>
    <w:p>
      <w:pPr>
        <w:spacing w:after="120" w:line="264"/>
      </w:pPr>
      <w:r>
        <w:rPr>
          <w:b/>
          <w:bCs/>
          <w:color w:val="1C2925"/>
          <w:sz w:val="21"/>
          <w:szCs w:val="21"/>
          <w:rFonts w:ascii="Calibri" w:cs="Calibri" w:eastAsia="Calibri" w:hAnsi="Calibri"/>
        </w:rPr>
        <w:t xml:space="preserve">So the stated risk cannot occur. </w:t>
      </w:r>
      <w:r>
        <w:rPr>
          <w:color w:val="1C2925"/>
          <w:sz w:val="21"/>
          <w:szCs w:val="21"/>
          <w:rFonts w:ascii="Calibri" w:cs="Calibri" w:eastAsia="Calibri" w:hAnsi="Calibri"/>
        </w:rPr>
        <w:t xml:space="preserve">We still made the change, for a different and we think stronger reason: holding account numbers for organisations that may never be funded is unnecessary data collection, and in Sudan that is a safeguarding question rather than a tidiness one. That reasoning produces a much smaller change — collapse the block behind a disclosure — instead of restructuring an intake flow that is already correct. We deliberately did not touch the partner-facing form.</w:t>
      </w:r>
    </w:p>
    <w:p>
      <w:pPr>
        <w:spacing w:after="40"/>
      </w:pPr>
    </w:p>
    <w:p>
      <w:pPr>
        <w:pStyle w:val="Heading3"/>
        <w:spacing w:before="140" w:after="50"/>
      </w:pPr>
      <w:r>
        <w:rPr>
          <w:b/>
          <w:bCs/>
          <w:color w:val="1C2925"/>
          <w:sz w:val="22"/>
          <w:szCs w:val="22"/>
          <w:rFonts w:ascii="Calibri" w:cs="Calibri" w:eastAsia="Calibri" w:hAnsi="Calibri"/>
        </w:rPr>
        <w:t xml:space="preserve">2.2  The sidebar — not a route-detection bug</w:t>
      </w:r>
    </w:p>
    <w:p>
      <w:pPr>
        <w:spacing w:after="120" w:line="264"/>
      </w:pPr>
      <w:r>
        <w:rPr>
          <w:b/>
          <w:bCs/>
          <w:color w:val="1C2925"/>
          <w:sz w:val="21"/>
          <w:szCs w:val="21"/>
          <w:rFonts w:ascii="Calibri" w:cs="Calibri" w:eastAsia="Calibri" w:hAnsi="Calibri"/>
        </w:rPr>
        <w:t xml:space="preserve">The ticket said: </w:t>
      </w:r>
      <w:r>
        <w:rPr>
          <w:color w:val="1C2925"/>
          <w:sz w:val="21"/>
          <w:szCs w:val="21"/>
          <w:rFonts w:ascii="Calibri" w:cs="Calibri" w:eastAsia="Calibri" w:hAnsi="Calibri"/>
        </w:rPr>
        <w:t xml:space="preserve">fix active route detection so only one item is highlighted.</w:t>
      </w:r>
    </w:p>
    <w:p>
      <w:pPr>
        <w:spacing w:after="120" w:line="264"/>
      </w:pPr>
      <w:r>
        <w:rPr>
          <w:b/>
          <w:bCs/>
          <w:color w:val="1C2925"/>
          <w:sz w:val="21"/>
          <w:szCs w:val="21"/>
          <w:rFonts w:ascii="Calibri" w:cs="Calibri" w:eastAsia="Calibri" w:hAnsi="Calibri"/>
        </w:rPr>
        <w:t xml:space="preserve">What it actually was: </w:t>
      </w:r>
      <w:r>
        <w:rPr>
          <w:color w:val="1C2925"/>
          <w:sz w:val="21"/>
          <w:szCs w:val="21"/>
          <w:rFonts w:ascii="Calibri" w:cs="Calibri" w:eastAsia="Calibri" w:hAnsi="Calibri"/>
        </w:rPr>
        <w:t xml:space="preserve">a prefix collision. The Dashboard address is /proximate/admin and Partners is /proximate/admin/partners — the first is contained inside the second, and the code was asking “does the current page start with this address?” Both answered yes.</w:t>
      </w:r>
    </w:p>
    <w:p>
      <w:pPr>
        <w:spacing w:after="120" w:line="264"/>
      </w:pPr>
      <w:r>
        <w:rPr>
          <w:b/>
          <w:bCs/>
          <w:color w:val="1C2925"/>
          <w:sz w:val="21"/>
          <w:szCs w:val="21"/>
          <w:rFonts w:ascii="Calibri" w:cs="Calibri" w:eastAsia="Calibri" w:hAnsi="Calibri"/>
        </w:rPr>
        <w:t xml:space="preserve">Why the distinction matters: </w:t>
      </w:r>
      <w:r>
        <w:rPr>
          <w:color w:val="1C2925"/>
          <w:sz w:val="21"/>
          <w:szCs w:val="21"/>
          <w:rFonts w:ascii="Calibri" w:cs="Calibri" w:eastAsia="Calibri" w:hAnsi="Calibri"/>
        </w:rPr>
        <w:t xml:space="preserve">a fix aimed at “Partners” would have made that one page correct and left the identical fault live on Endorsers and Messages. The rule is now “most specific match wins”, which closes all of them at once and applies to every tenant on the platform, not just Proximate.</w:t>
      </w:r>
    </w:p>
    <w:p>
      <w:pPr>
        <w:spacing w:after="40"/>
      </w:pPr>
    </w:p>
    <w:p>
      <w:pPr>
        <w:pStyle w:val="Heading3"/>
        <w:spacing w:before="140" w:after="50"/>
      </w:pPr>
      <w:r>
        <w:rPr>
          <w:b/>
          <w:bCs/>
          <w:color w:val="1C2925"/>
          <w:sz w:val="22"/>
          <w:szCs w:val="22"/>
          <w:rFonts w:ascii="Calibri" w:cs="Calibri" w:eastAsia="Calibri" w:hAnsi="Calibri"/>
        </w:rPr>
        <w:t xml:space="preserve">2.3  Test-record badging already existed</w:t>
      </w:r>
    </w:p>
    <w:p>
      <w:pPr>
        <w:spacing w:after="120" w:line="264"/>
      </w:pPr>
      <w:r>
        <w:rPr>
          <w:b/>
          <w:bCs/>
          <w:color w:val="1C2925"/>
          <w:sz w:val="21"/>
          <w:szCs w:val="21"/>
          <w:rFonts w:ascii="Calibri" w:cs="Calibri" w:eastAsia="Calibri" w:hAnsi="Calibri"/>
        </w:rPr>
        <w:t xml:space="preserve">The ticket asked for: </w:t>
      </w:r>
      <w:r>
        <w:rPr>
          <w:color w:val="1C2925"/>
          <w:sz w:val="21"/>
          <w:szCs w:val="21"/>
          <w:rFonts w:ascii="Calibri" w:cs="Calibri" w:eastAsia="Calibri" w:hAnsi="Calibri"/>
        </w:rPr>
        <w:t xml:space="preserve">a TEST badge and a show/hide toggle.</w:t>
      </w:r>
    </w:p>
    <w:p>
      <w:pPr>
        <w:spacing w:after="120" w:line="264"/>
      </w:pPr>
      <w:r>
        <w:rPr>
          <w:b/>
          <w:bCs/>
          <w:color w:val="1C2925"/>
          <w:sz w:val="21"/>
          <w:szCs w:val="21"/>
          <w:rFonts w:ascii="Calibri" w:cs="Calibri" w:eastAsia="Calibri" w:hAnsi="Calibri"/>
        </w:rPr>
        <w:t xml:space="preserve">What we found: </w:t>
      </w:r>
      <w:r>
        <w:rPr>
          <w:color w:val="1C2925"/>
          <w:sz w:val="21"/>
          <w:szCs w:val="21"/>
          <w:rFonts w:ascii="Calibri" w:cs="Calibri" w:eastAsia="Calibri" w:hAnsi="Calibri"/>
        </w:rPr>
        <w:t xml:space="preserve">both already existed on the “record a disbursement” picker and the round detail page. The main registers simply were not using them. So this was applying an existing convention in two more places rather than new design work — cheaper than it looked.</w:t>
      </w:r>
    </w:p>
    <w:p>
      <w:pPr>
        <w:spacing w:after="120" w:line="264"/>
      </w:pPr>
      <w:r>
        <w:rPr>
          <w:b/>
          <w:bCs/>
          <w:color w:val="1C2925"/>
          <w:sz w:val="21"/>
          <w:szCs w:val="21"/>
          <w:rFonts w:ascii="Calibri" w:cs="Calibri" w:eastAsia="Calibri" w:hAnsi="Calibri"/>
        </w:rPr>
        <w:t xml:space="preserve">An honest limitation to record: </w:t>
      </w:r>
      <w:r>
        <w:rPr>
          <w:color w:val="1C2925"/>
          <w:sz w:val="21"/>
          <w:szCs w:val="21"/>
          <w:rFonts w:ascii="Calibri" w:cs="Calibri" w:eastAsia="Calibri" w:hAnsi="Calibri"/>
        </w:rPr>
        <w:t xml:space="preserve">the rule matches on WORDS IN THE NAME (test, UAT, QA, demo, fixture). It is a heuristic, not a property of the record. A genuine organisation with “Test” in its title would be wrongly hidden, and a fixture named something ordinary would be wrongly shown. The correct fix is a proper flag set when fixtures are created, which is on the backlog. Before shipping we ran the rule over the real register: of 91 partners, 13 hide and all 13 are genuine fixtures — every real Blue Nile organisation stays visible. So it is safe today, but it is a heuristic and we would rather say so than let it look like a data model.</w:t>
      </w:r>
    </w:p>
    <w:p>
      <w:pPr>
        <w:spacing w:after="120" w:line="264"/>
      </w:pPr>
      <w:r>
        <w:rPr>
          <w:b/>
          <w:bCs/>
          <w:color w:val="1C2925"/>
          <w:sz w:val="21"/>
          <w:szCs w:val="21"/>
          <w:rFonts w:ascii="Calibri" w:cs="Calibri" w:eastAsia="Calibri" w:hAnsi="Calibri"/>
        </w:rPr>
        <w:t xml:space="preserve">One thing we did not do: </w:t>
      </w:r>
      <w:r>
        <w:rPr>
          <w:color w:val="1C2925"/>
          <w:sz w:val="21"/>
          <w:szCs w:val="21"/>
          <w:rFonts w:ascii="Calibri" w:cs="Calibri" w:eastAsia="Calibri" w:hAnsi="Calibri"/>
        </w:rPr>
        <w:t xml:space="preserve">the QA Fixture partner is a deliberate, permanent production fixture that the automated test suite checks against every run. It is hidden from view, never deleted.</w:t>
      </w:r>
    </w:p>
    <w:p>
      <w:pPr>
        <w:spacing w:after="40"/>
      </w:pPr>
    </w:p>
    <w:p>
      <w:pPr>
        <w:pStyle w:val="Heading3"/>
        <w:spacing w:before="140" w:after="50"/>
      </w:pPr>
      <w:r>
        <w:rPr>
          <w:b/>
          <w:bCs/>
          <w:color w:val="1C2925"/>
          <w:sz w:val="22"/>
          <w:szCs w:val="22"/>
          <w:rFonts w:ascii="Calibri" w:cs="Calibri" w:eastAsia="Calibri" w:hAnsi="Calibri"/>
        </w:rPr>
        <w:t xml:space="preserve">2.4  The link-label matrix has nothing to name</w:t>
      </w:r>
    </w:p>
    <w:p>
      <w:pPr>
        <w:spacing w:after="120" w:line="264"/>
      </w:pPr>
      <w:r>
        <w:rPr>
          <w:b/>
          <w:bCs/>
          <w:color w:val="1C2925"/>
          <w:sz w:val="21"/>
          <w:szCs w:val="21"/>
          <w:rFonts w:ascii="Calibri" w:cs="Calibri" w:eastAsia="Calibri" w:hAnsi="Calibri"/>
        </w:rPr>
        <w:t xml:space="preserve">The ticket asked for: </w:t>
      </w:r>
      <w:r>
        <w:rPr>
          <w:color w:val="1C2925"/>
          <w:sz w:val="21"/>
          <w:szCs w:val="21"/>
          <w:rFonts w:ascii="Calibri" w:cs="Calibri" w:eastAsia="Calibri" w:hAnsi="Calibri"/>
        </w:rPr>
        <w:t xml:space="preserve">status-specific labels — report submission, receipt confirmation, evidence upload, partner follow-up.</w:t>
      </w:r>
    </w:p>
    <w:p>
      <w:pPr>
        <w:spacing w:after="120" w:line="264"/>
      </w:pPr>
      <w:r>
        <w:rPr>
          <w:b/>
          <w:bCs/>
          <w:color w:val="1C2925"/>
          <w:sz w:val="21"/>
          <w:szCs w:val="21"/>
          <w:rFonts w:ascii="Calibri" w:cs="Calibri" w:eastAsia="Calibri" w:hAnsi="Calibri"/>
        </w:rPr>
        <w:t xml:space="preserve">What exists: </w:t>
      </w:r>
      <w:r>
        <w:rPr>
          <w:color w:val="1C2925"/>
          <w:sz w:val="21"/>
          <w:szCs w:val="21"/>
          <w:rFonts w:ascii="Calibri" w:cs="Calibri" w:eastAsia="Calibri" w:hAnsi="Calibri"/>
        </w:rPr>
        <w:t xml:space="preserve">one link on that surface. The button only appears when a report is outstanding, and it only ever copies the report URL. We labelled it “Copy report link”. Adding the other three would mean inventing variants the product does not have — which would mislead staff sending links over WhatsApp in exactly the way the ticket was trying to prevent.</w:t>
      </w:r>
    </w:p>
    <w:p>
      <w:pPr>
        <w:spacing w:after="40"/>
      </w:pPr>
    </w:p>
    <w:p>
      <w:pPr>
        <w:pStyle w:val="Heading3"/>
        <w:spacing w:before="140" w:after="50"/>
      </w:pPr>
      <w:r>
        <w:rPr>
          <w:b/>
          <w:bCs/>
          <w:color w:val="1C2925"/>
          <w:sz w:val="22"/>
          <w:szCs w:val="22"/>
          <w:rFonts w:ascii="Calibri" w:cs="Calibri" w:eastAsia="Calibri" w:hAnsi="Calibri"/>
        </w:rPr>
        <w:t xml:space="preserve">2.5  Localities are still free text, on purpose</w:t>
      </w:r>
    </w:p>
    <w:p>
      <w:pPr>
        <w:spacing w:after="120" w:line="264"/>
      </w:pPr>
      <w:r>
        <w:rPr>
          <w:b/>
          <w:bCs/>
          <w:color w:val="1C2925"/>
          <w:sz w:val="21"/>
          <w:szCs w:val="21"/>
          <w:rFonts w:ascii="Calibri" w:cs="Calibri" w:eastAsia="Calibri" w:hAnsi="Calibri"/>
        </w:rPr>
        <w:t xml:space="preserve">The ticket asked for: </w:t>
      </w:r>
      <w:r>
        <w:rPr>
          <w:color w:val="1C2925"/>
          <w:sz w:val="21"/>
          <w:szCs w:val="21"/>
          <w:rFonts w:ascii="Calibri" w:cs="Calibri" w:eastAsia="Calibri" w:hAnsi="Calibri"/>
        </w:rPr>
        <w:t xml:space="preserve">Country → State → Locality as dependent dropdowns.</w:t>
      </w:r>
    </w:p>
    <w:p>
      <w:pPr>
        <w:spacing w:after="120" w:line="264"/>
      </w:pPr>
      <w:r>
        <w:rPr>
          <w:b/>
          <w:bCs/>
          <w:color w:val="1C2925"/>
          <w:sz w:val="21"/>
          <w:szCs w:val="21"/>
          <w:rFonts w:ascii="Calibri" w:cs="Calibri" w:eastAsia="Calibri" w:hAnsi="Calibri"/>
        </w:rPr>
        <w:t xml:space="preserve">We built two of the three. </w:t>
      </w:r>
      <w:r>
        <w:rPr>
          <w:color w:val="1C2925"/>
          <w:sz w:val="21"/>
          <w:szCs w:val="21"/>
          <w:rFonts w:ascii="Calibri" w:cs="Calibri" w:eastAsia="Calibri" w:hAnsi="Calibri"/>
        </w:rPr>
        <w:t xml:space="preserve">Sudan's 18 states are stable and are now a fixed list. Localities are not: there are well over a hundred, and boundaries have moved during the conflict. A dropdown that looks official and is out of date would produce confidently wrong data — worse than a text box, because nobody questions a dropdown. State is what reporting groups by, so the aggregation problem the ticket was really about is solved. If Proximate can supply an authoritative locality list per state, it drops straight in.</w:t>
      </w:r>
    </w:p>
    <w:p>
      <w:pPr>
        <w:spacing w:after="120" w:line="264"/>
      </w:pPr>
      <w:r>
        <w:rPr>
          <w:b/>
          <w:bCs/>
          <w:color w:val="1C2925"/>
          <w:sz w:val="21"/>
          <w:szCs w:val="21"/>
          <w:rFonts w:ascii="Calibri" w:cs="Calibri" w:eastAsia="Calibri" w:hAnsi="Calibri"/>
        </w:rPr>
        <w:t xml:space="preserve">A related decision worth flagging: </w:t>
      </w:r>
      <w:r>
        <w:rPr>
          <w:color w:val="1C2925"/>
          <w:sz w:val="21"/>
          <w:szCs w:val="21"/>
          <w:rFonts w:ascii="Calibri" w:cs="Calibri" w:eastAsia="Calibri" w:hAnsi="Calibri"/>
        </w:rPr>
        <w:t xml:space="preserve">partners already in the system keep a blank state rather than one guessed from their locality spelling. Their state is genuinely unknown, and a guess would read as a fact.</w:t>
      </w:r>
    </w:p>
    <w:p>
      <w:r>
        <w:br w:type="page"/>
      </w:r>
    </w:p>
    <w:p>
      <w:pPr>
        <w:pStyle w:val="Heading1"/>
        <w:spacing w:before="300" w:after="100"/>
      </w:pPr>
      <w:r>
        <w:rPr>
          <w:b/>
          <w:bCs/>
          <w:color w:val="173F35"/>
          <w:sz w:val="28"/>
          <w:szCs w:val="28"/>
          <w:rFonts w:ascii="Calibri" w:cs="Calibri" w:eastAsia="Calibri" w:hAnsi="Calibri"/>
        </w:rPr>
        <w:t xml:space="preserve">3.  One item we have stopped on, and need an answer</w:t>
      </w:r>
    </w:p>
    <w:p>
      <w:pPr>
        <w:spacing w:after="120" w:line="264"/>
      </w:pPr>
      <w:r>
        <w:rPr>
          <w:b/>
          <w:bCs/>
          <w:color w:val="1C2925"/>
          <w:sz w:val="21"/>
          <w:szCs w:val="21"/>
          <w:rFonts w:ascii="Calibri" w:cs="Calibri" w:eastAsia="Calibri" w:hAnsi="Calibri"/>
        </w:rPr>
        <w:t xml:space="preserve">PRX-WORKFLOW-FORM-003 </w:t>
      </w:r>
      <w:r>
        <w:rPr>
          <w:color w:val="1C2925"/>
          <w:sz w:val="21"/>
          <w:szCs w:val="21"/>
          <w:rFonts w:ascii="Calibri" w:cs="Calibri" w:eastAsia="Calibri" w:hAnsi="Calibri"/>
        </w:rPr>
        <w:t xml:space="preserve">— “partner links should be limited to partners that have passed due diligence”.</w:t>
      </w:r>
    </w:p>
    <w:p>
      <w:pPr>
        <w:spacing w:after="120" w:line="264"/>
      </w:pPr>
      <w:r>
        <w:rPr>
          <w:color w:val="1C2925"/>
          <w:sz w:val="21"/>
          <w:szCs w:val="21"/>
          <w:rFonts w:ascii="Calibri" w:cs="Calibri" w:eastAsia="Calibri" w:hAnsi="Calibri"/>
        </w:rPr>
        <w:t xml:space="preserve">There are several partner-facing links in the system, and they are gated differently on purpose: nomination, report package, receipt confirmation, and per-domain delegation. The ticket does not say which one it means, and the reviewer flagged the same uncertainty.</w:t>
      </w:r>
    </w:p>
    <w:p>
      <w:pPr>
        <w:spacing w:after="120" w:line="264"/>
      </w:pPr>
      <w:r>
        <w:rPr>
          <w:b/>
          <w:bCs/>
          <w:color w:val="1C2925"/>
          <w:sz w:val="21"/>
          <w:szCs w:val="21"/>
          <w:rFonts w:ascii="Calibri" w:cs="Calibri" w:eastAsia="Calibri" w:hAnsi="Calibri"/>
        </w:rPr>
        <w:t xml:space="preserve">We have not guessed. </w:t>
      </w:r>
      <w:r>
        <w:rPr>
          <w:color w:val="1C2925"/>
          <w:sz w:val="21"/>
          <w:szCs w:val="21"/>
          <w:rFonts w:ascii="Calibri" w:cs="Calibri" w:eastAsia="Calibri" w:hAnsi="Calibri"/>
        </w:rPr>
        <w:t xml:space="preserve">Changing who can reach a link is an access-control decision, and getting it wrong either blocks a partner who needs to report or exposes a stage to someone who should not be in it yet. Please tell us which link and we will scope it the same day.</w:t>
      </w:r>
    </w:p>
    <w:p>
      <w:pPr>
        <w:pStyle w:val="Heading1"/>
        <w:spacing w:before="300" w:after="100"/>
      </w:pPr>
      <w:r>
        <w:rPr>
          <w:b/>
          <w:bCs/>
          <w:color w:val="173F35"/>
          <w:sz w:val="28"/>
          <w:szCs w:val="28"/>
          <w:rFonts w:ascii="Calibri" w:cs="Calibri" w:eastAsia="Calibri" w:hAnsi="Calibri"/>
        </w:rPr>
        <w:t xml:space="preserve">4.  How this was checked</w:t>
      </w:r>
    </w:p>
    <w:p>
      <w:pPr>
        <w:spacing w:after="120" w:line="264"/>
      </w:pPr>
      <w:r>
        <w:rPr>
          <w:color w:val="1C2925"/>
          <w:sz w:val="21"/>
          <w:szCs w:val="21"/>
          <w:rFonts w:ascii="Calibri" w:cs="Calibri" w:eastAsia="Calibri" w:hAnsi="Calibri"/>
        </w:rPr>
        <w:t xml:space="preserve">Everything below was run against the real system, not asserted:</w:t>
      </w:r>
    </w:p>
    <w:p>
      <w:pPr>
        <w:pStyle w:val="ListParagraph"/>
        <w:numPr>
          <w:ilvl w:val="0"/>
          <w:numId w:val="1"/>
        </w:numPr>
        <w:spacing w:after="60" w:line="260"/>
      </w:pPr>
      <w:r>
        <w:rPr>
          <w:color w:val="1C2925"/>
          <w:sz w:val="21"/>
          <w:szCs w:val="21"/>
          <w:rFonts w:ascii="Calibri" w:cs="Calibri" w:eastAsia="Calibri" w:hAnsi="Calibri"/>
        </w:rPr>
        <w:t xml:space="preserve">The menu fix was verified in a live browser on the exact page reported — /proximate/admin/partners now shows one highlighted item.</w:t>
      </w:r>
    </w:p>
    <w:p>
      <w:pPr>
        <w:pStyle w:val="ListParagraph"/>
        <w:numPr>
          <w:ilvl w:val="0"/>
          <w:numId w:val="1"/>
        </w:numPr>
        <w:spacing w:after="60" w:line="260"/>
      </w:pPr>
      <w:r>
        <w:rPr>
          <w:color w:val="1C2925"/>
          <w:sz w:val="21"/>
          <w:szCs w:val="21"/>
          <w:rFonts w:ascii="Calibri" w:cs="Calibri" w:eastAsia="Calibri" w:hAnsi="Calibri"/>
        </w:rPr>
        <w:t xml:space="preserve">A new automated guard (12 cases) covers the menu rule permanently. It reads the shipped code rather than a copy, so the check cannot keep passing after the real thing breaks.</w:t>
      </w:r>
    </w:p>
    <w:p>
      <w:pPr>
        <w:pStyle w:val="ListParagraph"/>
        <w:numPr>
          <w:ilvl w:val="0"/>
          <w:numId w:val="1"/>
        </w:numPr>
        <w:spacing w:after="60" w:line="260"/>
      </w:pPr>
      <w:r>
        <w:rPr>
          <w:color w:val="1C2925"/>
          <w:sz w:val="21"/>
          <w:szCs w:val="21"/>
          <w:rFonts w:ascii="Calibri" w:cs="Calibri" w:eastAsia="Calibri" w:hAnsi="Calibri"/>
        </w:rPr>
        <w:t xml:space="preserve">The test-record rule was run over the real production register before shipping — 91 partners, 13 hidden, zero real organisations affected.</w:t>
      </w:r>
    </w:p>
    <w:p>
      <w:pPr>
        <w:pStyle w:val="ListParagraph"/>
        <w:numPr>
          <w:ilvl w:val="0"/>
          <w:numId w:val="1"/>
        </w:numPr>
        <w:spacing w:after="60" w:line="260"/>
      </w:pPr>
      <w:r>
        <w:rPr>
          <w:color w:val="1C2925"/>
          <w:sz w:val="21"/>
          <w:szCs w:val="21"/>
          <w:rFonts w:ascii="Calibri" w:cs="Calibri" w:eastAsia="Calibri" w:hAnsi="Calibri"/>
        </w:rPr>
        <w:t xml:space="preserve">The full regression gate passed 125 of 125 across all three tenants, including the money paths.</w:t>
      </w:r>
    </w:p>
    <w:p>
      <w:pPr>
        <w:pStyle w:val="ListParagraph"/>
        <w:numPr>
          <w:ilvl w:val="0"/>
          <w:numId w:val="1"/>
        </w:numPr>
        <w:spacing w:after="60" w:line="260"/>
      </w:pPr>
      <w:r>
        <w:rPr>
          <w:color w:val="1C2925"/>
          <w:sz w:val="21"/>
          <w:szCs w:val="21"/>
          <w:rFonts w:ascii="Calibri" w:cs="Calibri" w:eastAsia="Calibri" w:hAnsi="Calibri"/>
        </w:rPr>
        <w:t xml:space="preserve">The frontend was rebuilt and the built output committed — without that step a source change silently does not deploy on this platform.</w:t>
      </w:r>
    </w:p>
    <w:p>
      <w:pPr>
        <w:spacing w:after="60"/>
      </w:pPr>
    </w:p>
    <w:p>
      <w:pPr>
        <w:pStyle w:val="Heading1"/>
        <w:spacing w:before="300" w:after="100"/>
      </w:pPr>
      <w:r>
        <w:rPr>
          <w:b/>
          <w:bCs/>
          <w:color w:val="173F35"/>
          <w:sz w:val="28"/>
          <w:szCs w:val="28"/>
          <w:rFonts w:ascii="Calibri" w:cs="Calibri" w:eastAsia="Calibri" w:hAnsi="Calibri"/>
        </w:rPr>
        <w:t xml:space="preserve">5.  What we have NOT built, and our recommendation</w:t>
      </w:r>
    </w:p>
    <w:p>
      <w:pPr>
        <w:spacing w:after="120" w:line="264"/>
      </w:pPr>
      <w:r>
        <w:rPr>
          <w:color w:val="1C2925"/>
          <w:sz w:val="21"/>
          <w:szCs w:val="21"/>
          <w:rFonts w:ascii="Calibri" w:cs="Calibri" w:eastAsia="Calibri" w:hAnsi="Calibri"/>
        </w:rPr>
        <w:t xml:space="preserve">Eight items remain. Five of them are the big ones: the dashboard restructure, the quick-action row, the partner workspace, the partner row redesign and the disbursement control centre.</w:t>
      </w:r>
    </w:p>
    <w:p>
      <w:pPr>
        <w:spacing w:after="120" w:line="264"/>
      </w:pPr>
      <w:r>
        <w:rPr>
          <w:color w:val="1C2925"/>
          <w:sz w:val="21"/>
          <w:szCs w:val="21"/>
          <w:rFonts w:ascii="Calibri" w:cs="Calibri" w:eastAsia="Calibri" w:hAnsi="Calibri"/>
        </w:rPr>
        <w:t xml:space="preserve">We think the framing in the review is right — </w:t>
      </w:r>
      <w:r>
        <w:rPr>
          <w:i/>
          <w:iCs/>
          <w:color w:val="1C2925"/>
          <w:sz w:val="21"/>
          <w:szCs w:val="21"/>
          <w:rFonts w:ascii="Calibri" w:cs="Calibri" w:eastAsia="Calibri" w:hAnsi="Calibri"/>
        </w:rPr>
        <w:t xml:space="preserve">summary first, priorities second, full registers only on drill-down</w:t>
      </w:r>
      <w:r>
        <w:rPr>
          <w:color w:val="1C2925"/>
          <w:sz w:val="21"/>
          <w:szCs w:val="21"/>
          <w:rFonts w:ascii="Calibri" w:cs="Calibri" w:eastAsia="Calibri" w:hAnsi="Calibri"/>
        </w:rPr>
        <w:t xml:space="preserve"> — and we are not disputing that today's screens read as registers rather than as decision tools.</w:t>
      </w:r>
    </w:p>
    <w:tbl>
      <w:tblPr>
        <w:tblW w:type="pct" w:w="100%"/>
        <w:tblBorders>
          <w:top w:val="single" w:color="CFDBC7" w:sz="6"/>
          <w:left w:val="single" w:color="CFDBC7" w:sz="6"/>
          <w:bottom w:val="single" w:color="CFDBC7" w:sz="6"/>
          <w:right w:val="single" w:color="CFDBC7" w:sz="6"/>
          <w:insideH w:val="single" w:color="CFDBC7" w:sz="6"/>
          <w:insideV w:val="single" w:color="CFDBC7" w:sz="6"/>
        </w:tblBorders>
      </w:tblPr>
      <w:tblGrid>
        <w:gridCol w:w="100"/>
      </w:tblGrid>
      <w:tr>
        <w:tc>
          <w:tcPr>
            <w:shd w:fill="EDF2E8" w:color="auto" w:val="clear"/>
            <w:tcMar>
              <w:top w:type="dxa" w:w="120"/>
              <w:left w:type="dxa" w:w="160"/>
              <w:bottom w:type="dxa" w:w="120"/>
              <w:right w:type="dxa" w:w="160"/>
            </w:tcMar>
          </w:tcPr>
          <w:p>
            <w:pPr>
              <w:spacing w:after="40"/>
            </w:pPr>
            <w:r>
              <w:rPr>
                <w:b/>
                <w:bCs/>
                <w:color w:val="173F35"/>
                <w:sz w:val="21"/>
                <w:szCs w:val="21"/>
                <w:rFonts w:ascii="Calibri" w:cs="Calibri" w:eastAsia="Calibri" w:hAnsi="Calibri"/>
              </w:rPr>
              <w:t xml:space="preserve">Our recommendation</w:t>
            </w:r>
          </w:p>
          <w:p>
            <w:r>
              <w:rPr>
                <w:color w:val="1C2925"/>
                <w:sz w:val="20"/>
                <w:szCs w:val="20"/>
                <w:rFonts w:ascii="Calibri" w:cs="Calibri" w:eastAsia="Calibri" w:hAnsi="Calibri"/>
              </w:rPr>
              <w:t xml:space="preserve">Do not build these from the document. They are the most subjective items on the list, and a layout built to a written specification is very likely to be a different wrong layout — at which point we have spent the effort and still need the conversation. Half an hour watching Khalid or Marwa actually work through a live round, saying out loud what they are looking for and in what order, would settle more than the whole ticket list. We will build immediately after that session and expect it to land first time.</w:t>
            </w:r>
          </w:p>
        </w:tc>
      </w:tr>
    </w:tbl>
    <w:p>
      <w:pPr>
        <w:spacing w:after="40"/>
      </w:pPr>
    </w:p>
    <w:p>
      <w:pPr>
        <w:pStyle w:val="Heading3"/>
        <w:spacing w:before="140" w:after="50"/>
      </w:pPr>
      <w:r>
        <w:rPr>
          <w:b/>
          <w:bCs/>
          <w:color w:val="1C2925"/>
          <w:sz w:val="22"/>
          <w:szCs w:val="22"/>
          <w:rFonts w:ascii="Calibri" w:cs="Calibri" w:eastAsia="Calibri" w:hAnsi="Calibri"/>
        </w:rPr>
        <w:t xml:space="preserve">A separate finding, filed the same day</w:t>
      </w:r>
    </w:p>
    <w:p>
      <w:pPr>
        <w:spacing w:after="120" w:line="264"/>
      </w:pPr>
      <w:r>
        <w:rPr>
          <w:color w:val="1C2925"/>
          <w:sz w:val="21"/>
          <w:szCs w:val="21"/>
          <w:rFonts w:ascii="Calibri" w:cs="Calibri" w:eastAsia="Calibri" w:hAnsi="Calibri"/>
        </w:rPr>
        <w:t xml:space="preserve">While tracing something unrelated we found that report packages accept video files and nothing ever reads them. Voice notes are transcribed into the report; video is stored and shown, but its content never reaches the compiled donor report — and the package still looks complete, so nobody is told anything was lost.</w:t>
      </w:r>
    </w:p>
    <w:p>
      <w:pPr>
        <w:spacing w:after="120" w:line="264"/>
      </w:pPr>
      <w:r>
        <w:rPr>
          <w:b/>
          <w:bCs/>
          <w:color w:val="1C2925"/>
          <w:sz w:val="21"/>
          <w:szCs w:val="21"/>
          <w:rFonts w:ascii="Calibri" w:cs="Calibri" w:eastAsia="Calibri" w:hAnsi="Calibri"/>
        </w:rPr>
        <w:t xml:space="preserve">Measured before deciding what to do: </w:t>
      </w:r>
      <w:r>
        <w:rPr>
          <w:color w:val="1C2925"/>
          <w:sz w:val="21"/>
          <w:szCs w:val="21"/>
          <w:rFonts w:ascii="Calibri" w:cs="Calibri" w:eastAsia="Calibri" w:hAnsi="Calibri"/>
        </w:rPr>
        <w:t xml:space="preserve">no partner has ever uploaded a video, and voice transcription is working and lightly used elsewhere. So the recommendation is to add an honest label now (“video is kept as a record but not transcribed — send a voice note if you want it in the report”) and defer the engineering until there is evidence partners want to send video. Building a video pipeline for a behaviour nobody has shown yet would be the wrong order.</w:t>
      </w:r>
    </w:p>
    <w:p>
      <w:pPr>
        <w:spacing w:after="60"/>
      </w:pPr>
    </w:p>
    <w:tbl>
      <w:tblPr>
        <w:tblW w:type="pct" w:w="100%"/>
        <w:tblBorders>
          <w:top w:val="single" w:color="CFDBC7" w:sz="6"/>
          <w:left w:val="single" w:color="CFDBC7" w:sz="6"/>
          <w:bottom w:val="single" w:color="CFDBC7" w:sz="6"/>
          <w:right w:val="single" w:color="CFDBC7" w:sz="6"/>
          <w:insideH w:val="single" w:color="CFDBC7" w:sz="6"/>
          <w:insideV w:val="single" w:color="CFDBC7" w:sz="6"/>
        </w:tblBorders>
      </w:tblPr>
      <w:tblGrid>
        <w:gridCol w:w="100"/>
      </w:tblGrid>
      <w:tr>
        <w:tc>
          <w:tcPr>
            <w:shd w:fill="EDF2E8" w:color="auto" w:val="clear"/>
            <w:tcMar>
              <w:top w:type="dxa" w:w="120"/>
              <w:left w:type="dxa" w:w="160"/>
              <w:bottom w:type="dxa" w:w="120"/>
              <w:right w:type="dxa" w:w="160"/>
            </w:tcMar>
          </w:tcPr>
          <w:p>
            <w:pPr>
              <w:spacing w:after="40"/>
            </w:pPr>
            <w:r>
              <w:rPr>
                <w:b/>
                <w:bCs/>
                <w:color w:val="173F35"/>
                <w:sz w:val="21"/>
                <w:szCs w:val="21"/>
                <w:rFonts w:ascii="Calibri" w:cs="Calibri" w:eastAsia="Calibri" w:hAnsi="Calibri"/>
              </w:rPr>
              <w:t xml:space="preserve">What we need from the team</w:t>
            </w:r>
          </w:p>
          <w:p>
            <w:r>
              <w:rPr>
                <w:color w:val="1C2925"/>
                <w:sz w:val="20"/>
                <w:szCs w:val="20"/>
                <w:rFonts w:ascii="Calibri" w:cs="Calibri" w:eastAsia="Calibri" w:hAnsi="Calibri"/>
              </w:rPr>
              <w:t xml:space="preserve">One answer — which partner link section 3 is about. One session — thirty minutes with Khalid or Marwa working through a real round while we watch. And one decision, when you are ready: whether locality should become a controlled list, which needs an authoritative source we do not currently have.</w:t>
            </w:r>
          </w:p>
        </w:tc>
      </w:tr>
    </w:tbl>
    <w:sectPr>
      <w:footerReference w:type="default" r:id="rId6"/>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DD7" w:sz="4" w:space="6"/>
      </w:pBdr>
      <w:jc w:val="center"/>
    </w:pPr>
    <w:r>
      <w:rPr>
        <w:color w:val="5B6560"/>
        <w:sz w:val="15"/>
        <w:szCs w:val="15"/>
        <w:rFonts w:ascii="Calibri" w:cs="Calibri" w:eastAsia="Calibri" w:hAnsi="Calibri"/>
      </w:rPr>
      <w:t xml:space="preserve">Proximate Fund — Platform Update, 3 August 2026   ·   Kuja · Confidential — Internal &amp; Investor Use   ·   Page </w:t>
    </w:r>
    <w:r>
      <w:rPr>
        <w:color w:val="5B656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2925"/>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Proximate Fund — Platform Update, 3 August 2026</dc:title>
  <dc:creator>Kuja</dc:creator>
  <cp:lastModifiedBy>Un-named</cp:lastModifiedBy>
  <cp:revision>1</cp:revision>
  <dcterms:created xsi:type="dcterms:W3CDTF">2026-08-03T14:36:13.177Z</dcterms:created>
  <dcterms:modified xsi:type="dcterms:W3CDTF">2026-08-03T14:36:13.179Z</dcterms:modified>
</cp:coreProperties>
</file>

<file path=docProps/custom.xml><?xml version="1.0" encoding="utf-8"?>
<Properties xmlns="http://schemas.openxmlformats.org/officeDocument/2006/custom-properties" xmlns:vt="http://schemas.openxmlformats.org/officeDocument/2006/docPropsVTypes"/>
</file>