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FC5810"/>
          <w:sz w:val="40"/>
          <w:szCs w:val="40"/>
        </w:rPr>
        <w:t xml:space="preserve">Proximate Fund — Platform Update</w:t>
      </w:r>
    </w:p>
    <w:p>
      <w:pPr>
        <w:spacing w:after="240"/>
      </w:pPr>
      <w:r>
        <w:rPr>
          <w:b w:val="false"/>
          <w:bCs w:val="false"/>
          <w:i w:val="false"/>
          <w:iCs w:val="false"/>
          <w:color w:val="666666"/>
          <w:sz w:val="21"/>
          <w:szCs w:val="21"/>
        </w:rPr>
        <w:t xml:space="preserve">20 July 2026 · proximate.kuja.org · prepared for the Adeso / Proximate team</w:t>
      </w:r>
    </w:p>
    <w:p>
      <w:pPr>
        <w:pStyle w:val="Heading1"/>
      </w:pPr>
      <w:r>
        <w:t xml:space="preserve">At a glance</w:t>
      </w:r>
    </w:p>
    <w:p>
      <w:pPr>
        <w:spacing w:after="120"/>
      </w:pPr>
      <w:r>
        <w:rPr>
          <w:b w:val="false"/>
          <w:bCs w:val="false"/>
          <w:i w:val="false"/>
          <w:iCs w:val="false"/>
          <w:color w:val="222222"/>
          <w:sz w:val="22"/>
          <w:szCs w:val="22"/>
        </w:rPr>
        <w:t xml:space="preserve">Three production deployments went out today. None of them changes anything you can see on an English screen — every English label, button, and flow is byte-for-byte identical, so the UAT pack and the QA scripts are unaffected. What changed underneath: the console now speaks all six languages properly, and the remaining items from the QA team’s 20 July feedback are closed. The system is healthy and the UAT continues on the same screens.</w:t>
      </w:r>
    </w:p>
    <w:p>
      <w:pPr>
        <w:pStyle w:val="Heading1"/>
      </w:pPr>
      <w:r>
        <w:t xml:space="preserve">What shipped today</w:t>
      </w:r>
    </w:p>
    <w:p>
      <w:pPr>
        <w:pStyle w:val="Heading2"/>
      </w:pPr>
      <w:r>
        <w:t xml:space="preserve">1. QA feedback follow-through</w:t>
      </w:r>
    </w:p>
    <w:p>
      <w:pPr>
        <w:pStyle w:val="ListParagraph"/>
        <w:numPr>
          <w:ilvl w:val="0"/>
          <w:numId w:val="2"/>
        </w:numPr>
        <w:spacing w:after="80"/>
      </w:pPr>
      <w:r>
        <w:rPr>
          <w:b/>
          <w:bCs/>
          <w:sz w:val="22"/>
          <w:szCs w:val="22"/>
        </w:rPr>
        <w:t xml:space="preserve">Clearer audit trail — </w:t>
      </w:r>
      <w:r>
        <w:rPr>
          <w:sz w:val="22"/>
          <w:szCs w:val="22"/>
        </w:rPr>
        <w:t xml:space="preserve">Payment confirmations recorded against a disbursement now write their own distinct entry in the audit chain ("Payment confirmation attached") instead of the generic evidence entry — an auditor can now tell receipts from other files at a glance.</w:t>
      </w:r>
    </w:p>
    <w:p>
      <w:pPr>
        <w:pStyle w:val="ListParagraph"/>
        <w:numPr>
          <w:ilvl w:val="0"/>
          <w:numId w:val="2"/>
        </w:numPr>
        <w:spacing w:after="80"/>
      </w:pPr>
      <w:r>
        <w:rPr>
          <w:b/>
          <w:bCs/>
          <w:sz w:val="22"/>
          <w:szCs w:val="22"/>
        </w:rPr>
        <w:t xml:space="preserve">Quieter console — </w:t>
      </w:r>
      <w:r>
        <w:rPr>
          <w:sz w:val="22"/>
          <w:szCs w:val="22"/>
        </w:rPr>
        <w:t xml:space="preserve">The "what’s new" banner no longer fires background requests on Proximate pages — the wasteful repeated calls QA spotted are gone (verified: zero requests across the console; the Kuja marketplace banner still works).</w:t>
      </w:r>
    </w:p>
    <w:p>
      <w:pPr>
        <w:pStyle w:val="ListParagraph"/>
        <w:numPr>
          <w:ilvl w:val="0"/>
          <w:numId w:val="2"/>
        </w:numPr>
        <w:spacing w:after="80"/>
      </w:pPr>
      <w:r>
        <w:rPr>
          <w:b/>
          <w:bCs/>
          <w:sz w:val="22"/>
          <w:szCs w:val="22"/>
        </w:rPr>
        <w:t xml:space="preserve">Design plan on record — </w:t>
      </w:r>
      <w:r>
        <w:rPr>
          <w:sz w:val="22"/>
          <w:szCs w:val="22"/>
        </w:rPr>
        <w:t xml:space="preserve">The reconciliation of the team’s UI/UX redesign document now lives in the repository (docs/PROXIMATE_DESIGN_V2_BACKLOG.md): what is already built, what comes after UAT, and in what order.</w:t>
      </w:r>
    </w:p>
    <w:p>
      <w:pPr>
        <w:pStyle w:val="Heading2"/>
      </w:pPr>
      <w:r>
        <w:t xml:space="preserve">2. The console now speaks Arabic everywhere</w:t>
      </w:r>
    </w:p>
    <w:p>
      <w:pPr>
        <w:spacing w:after="120"/>
      </w:pPr>
      <w:r>
        <w:rPr>
          <w:b w:val="false"/>
          <w:bCs w:val="false"/>
          <w:i w:val="false"/>
          <w:iCs w:val="false"/>
          <w:color w:val="222222"/>
          <w:sz w:val="22"/>
          <w:szCs w:val="22"/>
        </w:rPr>
        <w:t xml:space="preserve">Until today, three areas of the OB console showed English even when the user’s language was Arabic: the activity feeds (e.g. "Round signed", "Disbursement recorded"), the audit-chain entity labels, and the evidence-file type badges. All three now render in the viewer’s language — 96 activity labels, 29 entity labels, and the attachment types were translated and wired in. An Arabic-speaking OB member now reads a fully Arabic console, including the audit chain.</w:t>
      </w:r>
    </w:p>
    <w:p>
      <w:pPr>
        <w:pStyle w:val="Heading2"/>
      </w:pPr>
      <w:r>
        <w:t xml:space="preserve">3. French, Spanish, Swahili and Somali are now real</w:t>
      </w:r>
    </w:p>
    <w:p>
      <w:pPr>
        <w:spacing w:after="120"/>
      </w:pPr>
      <w:r>
        <w:rPr>
          <w:b w:val="false"/>
          <w:bCs w:val="false"/>
          <w:i w:val="false"/>
          <w:iCs w:val="false"/>
          <w:color w:val="222222"/>
          <w:sz w:val="22"/>
          <w:szCs w:val="22"/>
        </w:rPr>
        <w:t xml:space="preserve">These four languages previously showed English placeholder text across most Proximate screens (~550 strings each). All four now carry genuine translations with consistent terminology throughout — rounds, disbursements, endorsements, partner and donor portals, reports, the works. Arabic and English were already complete. One caveat for the team: this was a careful machine-authored pass, and we recommend a native-speaker read-through per language before promoting them externally (see the table below).</w:t>
      </w:r>
    </w:p>
    <w:p>
      <w:pPr>
        <w:pStyle w:val="Heading2"/>
      </w:pPr>
      <w:r>
        <w:t xml:space="preserve">How this was verified</w:t>
      </w:r>
    </w:p>
    <w:p>
      <w:pPr>
        <w:pStyle w:val="ListParagraph"/>
        <w:numPr>
          <w:ilvl w:val="0"/>
          <w:numId w:val="2"/>
        </w:numPr>
        <w:spacing w:after="80"/>
      </w:pPr>
      <w:r>
        <w:rPr>
          <w:sz w:val="22"/>
          <w:szCs w:val="22"/>
        </w:rPr>
        <w:t xml:space="preserve">Full regression gate (98 automated checks) passed before each of the three deployments.</w:t>
      </w:r>
    </w:p>
    <w:p>
      <w:pPr>
        <w:pStyle w:val="ListParagraph"/>
        <w:numPr>
          <w:ilvl w:val="0"/>
          <w:numId w:val="2"/>
        </w:numPr>
        <w:spacing w:after="80"/>
      </w:pPr>
      <w:r>
        <w:rPr>
          <w:sz w:val="22"/>
          <w:szCs w:val="22"/>
        </w:rPr>
        <w:t xml:space="preserve">Browser tests confirmed Arabic labels and right-to-left layout on the operator dashboard, audit chain, and disbursement pages, and confirmed French/Swahili/Somali render on the live pages.</w:t>
      </w:r>
    </w:p>
    <w:p>
      <w:pPr>
        <w:pStyle w:val="ListParagraph"/>
        <w:numPr>
          <w:ilvl w:val="0"/>
          <w:numId w:val="2"/>
        </w:numPr>
        <w:spacing w:after="80"/>
      </w:pPr>
      <w:r>
        <w:rPr>
          <w:sz w:val="22"/>
          <w:szCs w:val="22"/>
        </w:rPr>
        <w:t xml:space="preserve">The English console was re-checked after each deploy and is unchanged — which is why the UAT and QA scripts are safe.</w:t>
      </w:r>
    </w:p>
    <w:p>
      <w:pPr>
        <w:pStyle w:val="Heading1"/>
      </w:pPr>
      <w:r>
        <w:t xml:space="preserve">Outstanding operational items</w:t>
      </w:r>
    </w:p>
    <w:p>
      <w:pPr>
        <w:spacing w:after="160"/>
      </w:pPr>
      <w:r>
        <w:rPr>
          <w:b w:val="false"/>
          <w:bCs w:val="false"/>
          <w:i w:val="false"/>
          <w:iCs w:val="false"/>
          <w:color w:val="222222"/>
          <w:sz w:val="22"/>
          <w:szCs w:val="22"/>
        </w:rPr>
        <w:t xml:space="preserve">These are the things that need a person — not code — to move. Owners in the second column.</w:t>
      </w:r>
    </w:p>
    <w:tbl>
      <w:tblPr>
        <w:tblW w:type="dxa" w:w="9760"/>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5560"/>
      </w:tblGrid>
      <w:tr>
        <w:tc>
          <w:tcPr>
            <w:tcW w:type="dxa" w:w="2300"/>
            <w:tcBorders>
              <w:top w:val="single" w:color="CCCCCC" w:sz="1"/>
              <w:left w:val="single" w:color="CCCCCC" w:sz="1"/>
              <w:bottom w:val="single" w:color="CCCCCC" w:sz="1"/>
              <w:right w:val="single" w:color="CCCCCC" w:sz="1"/>
            </w:tcBorders>
            <w:shd w:fill="F4E3D7" w:val="clear"/>
            <w:tcMar>
              <w:top w:type="dxa" w:w="80"/>
              <w:left w:type="dxa" w:w="120"/>
              <w:bottom w:type="dxa" w:w="80"/>
              <w:right w:type="dxa" w:w="120"/>
            </w:tcMar>
          </w:tcPr>
          <w:p>
            <w:r>
              <w:rPr>
                <w:b/>
                <w:bCs/>
                <w:sz w:val="21"/>
                <w:szCs w:val="21"/>
              </w:rPr>
              <w:t xml:space="preserve">Item</w:t>
            </w:r>
          </w:p>
        </w:tc>
        <w:tc>
          <w:tcPr>
            <w:tcW w:type="dxa" w:w="1900"/>
            <w:tcBorders>
              <w:top w:val="single" w:color="CCCCCC" w:sz="1"/>
              <w:left w:val="single" w:color="CCCCCC" w:sz="1"/>
              <w:bottom w:val="single" w:color="CCCCCC" w:sz="1"/>
              <w:right w:val="single" w:color="CCCCCC" w:sz="1"/>
            </w:tcBorders>
            <w:shd w:fill="F4E3D7" w:val="clear"/>
            <w:tcMar>
              <w:top w:type="dxa" w:w="80"/>
              <w:left w:type="dxa" w:w="120"/>
              <w:bottom w:type="dxa" w:w="80"/>
              <w:right w:type="dxa" w:w="120"/>
            </w:tcMar>
          </w:tcPr>
          <w:p>
            <w:r>
              <w:rPr>
                <w:b/>
                <w:bCs/>
                <w:sz w:val="21"/>
                <w:szCs w:val="21"/>
              </w:rPr>
              <w:t xml:space="preserve">Who</w:t>
            </w:r>
          </w:p>
        </w:tc>
        <w:tc>
          <w:tcPr>
            <w:tcW w:type="dxa" w:w="5560"/>
            <w:tcBorders>
              <w:top w:val="single" w:color="CCCCCC" w:sz="1"/>
              <w:left w:val="single" w:color="CCCCCC" w:sz="1"/>
              <w:bottom w:val="single" w:color="CCCCCC" w:sz="1"/>
              <w:right w:val="single" w:color="CCCCCC" w:sz="1"/>
            </w:tcBorders>
            <w:shd w:fill="F4E3D7" w:val="clear"/>
            <w:tcMar>
              <w:top w:type="dxa" w:w="80"/>
              <w:left w:type="dxa" w:w="120"/>
              <w:bottom w:type="dxa" w:w="80"/>
              <w:right w:type="dxa" w:w="120"/>
            </w:tcMar>
          </w:tcPr>
          <w:p>
            <w:r>
              <w:rPr>
                <w:b/>
                <w:bCs/>
                <w:sz w:val="21"/>
                <w:szCs w:val="21"/>
              </w:rPr>
              <w:t xml:space="preserve">What’s needed</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Round 10 second-signature test</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QA team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Run the controlled second-signature test on Round 10 (left at 1 of 2 by design), then confirm it is done. This is the ONLY thing holding the signer-name fix (roster currently shows "Signer #21" instead of names) — the fix is coded and ships the same day we hear back.</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UAT completion and sign-off</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Whole team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Work through the 84-case pack at https://proximate.kuja.org. Sign-off is the gate for the next design phase (donor dashboard v2, OB KPI row, report-review split, safeguarding checklist, money-confirmation dialogs) — none of that starts while testing is running, so screens stay stable.</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Native-speaker review: FR / ES / SW / SO</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Ops / comms</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All four languages now have full Proximate translations (~550 strings each), machine-authored to a fixed glossary. A native speaker should read each through before we advertise these languages to partners or donors. Arabic and English need nothing — both were human-set earlier.</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Old domain entry cleanup</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Idiris (Railway dashboard)</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the dead proximate.adesoafrica.org entry under the web service’s domains. It has no DNS and does nothing; cosmetic only. The CLI cannot manage domains, so this is dashboard-only.</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WhatsApp templates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Waiting on Meta</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The six utility templates (EN/AR) are still pending Meta approval. Once approved, we wire the sends — no action from the team beyond forwarding the approval email when it lands.</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QCF temporary password rotation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QCF contact</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The temporary donor password issued to QCF should be rotated by them on next login. Chase if they have not logged in by end of week.</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Remaining QA scope</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QA team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Read-only observer walkthrough (needs the credentials Idiris holds), mobile smoke on a real device, and the integration smoke round out their plan.</w:t>
            </w:r>
          </w:p>
        </w:tc>
      </w:tr>
      <w:tr>
        <w:tc>
          <w:tcPr>
            <w:tcW w:type="dxa" w:w="23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1"/>
                <w:szCs w:val="21"/>
              </w:rPr>
              <w:t xml:space="preserve">Post-UAT cleanup (after sign-off)</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Us + team</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Delete the UAT-prefixed fixtures (round, partner, grievances), disable the shared uat.donor account, and decide whether the OB "hide test data" toggle defaults on.</w:t>
            </w:r>
          </w:p>
        </w:tc>
      </w:tr>
    </w:tbl>
    <w:p>
      <w:pPr>
        <w:spacing w:after="60"/>
      </w:pPr>
      <w:r>
        <w:rPr>
          <w:b w:val="false"/>
          <w:bCs w:val="false"/>
          <w:i w:val="false"/>
          <w:iCs w:val="false"/>
          <w:color w:val="222222"/>
          <w:sz w:val="22"/>
          <w:szCs w:val="22"/>
        </w:rPr>
        <w:t xml:space="preserve"/>
      </w:r>
    </w:p>
    <w:p>
      <w:pPr>
        <w:spacing w:after="120"/>
      </w:pPr>
      <w:r>
        <w:rPr>
          <w:b w:val="false"/>
          <w:bCs w:val="false"/>
          <w:i/>
          <w:iCs/>
          <w:color w:val="666666"/>
          <w:sz w:val="21"/>
          <w:szCs w:val="21"/>
        </w:rPr>
        <w:t xml:space="preserve">Standing test-data rules remain in force until QA says otherwise: disbursement 24 stays flagged and read-only, no further uploads to disbursement 26, and Round 10 stays untouched at 1 of 2 signatures.</w:t>
      </w:r>
    </w:p>
    <w:p>
      <w:pPr>
        <w:pStyle w:val="Heading1"/>
      </w:pPr>
      <w:r>
        <w:t xml:space="preserve">What comes after UAT sign-off</w:t>
      </w:r>
    </w:p>
    <w:p>
      <w:pPr>
        <w:spacing w:after="120"/>
      </w:pPr>
      <w:r>
        <w:rPr>
          <w:b w:val="false"/>
          <w:bCs w:val="false"/>
          <w:i w:val="false"/>
          <w:iCs w:val="false"/>
          <w:color w:val="222222"/>
          <w:sz w:val="22"/>
          <w:szCs w:val="22"/>
        </w:rPr>
        <w:t xml:space="preserve">The next build wave is already specced and sequenced in the design backlog: the donor dashboard redesign (funding-renewal view with money-flow and impact), the OB dashboard KPI row and severity-grouped inbox, the report-review split layout, the safeguarding media checklist, and confirmation dialogs on all money actions. We hold these until sign-off because they restructure the exact screens the test pack is keyed to — the day the UAT closes, this starts.</w:t>
      </w:r>
    </w:p>
    <w:p>
      <w:pPr>
        <w:spacing w:after="60"/>
      </w:pPr>
      <w:r>
        <w:rPr>
          <w:b w:val="false"/>
          <w:bCs w:val="false"/>
          <w:i w:val="false"/>
          <w:iCs w:val="false"/>
          <w:color w:val="222222"/>
          <w:sz w:val="22"/>
          <w:szCs w:val="22"/>
        </w:rPr>
        <w:t xml:space="preserve"/>
      </w:r>
    </w:p>
    <w:p>
      <w:pPr>
        <w:spacing w:after="120"/>
      </w:pPr>
      <w:r>
        <w:rPr>
          <w:b w:val="false"/>
          <w:bCs w:val="false"/>
          <w:i w:val="false"/>
          <w:iCs w:val="false"/>
          <w:color w:val="666666"/>
          <w:sz w:val="21"/>
          <w:szCs w:val="21"/>
        </w:rPr>
        <w:t xml:space="preserve">Questions or anything unclear — send it through Idiris as usual and we will pick it up same day.</w:t>
      </w:r>
    </w:p>
    <w:sectPr>
      <w:pgSz w:w="12240" w:h="15840" w:orient="portrait"/>
      <w:pgMar w:top="1240" w:right="1240" w:bottom="124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222222"/>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FC581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2026-07-20T16:37:35.171Z</dcterms:created>
  <dcterms:modified xsi:type="dcterms:W3CDTF">2026-07-20T16:37:35.174Z</dcterms:modified>
</cp:coreProperties>
</file>

<file path=docProps/custom.xml><?xml version="1.0" encoding="utf-8"?>
<Properties xmlns="http://schemas.openxmlformats.org/officeDocument/2006/custom-properties" xmlns:vt="http://schemas.openxmlformats.org/officeDocument/2006/docPropsVTypes"/>
</file>