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22222"/>
          <w:sz w:val="32"/>
          <w:szCs w:val="32"/>
        </w:rPr>
        <w:t xml:space="preserve">Platform Update — Proximate Console: Redesign Delivered, Validated &amp; Hardened, 18 July 2026</w:t>
      </w:r>
    </w:p>
    <w:p>
      <w:pPr>
        <w:spacing w:after="120"/>
      </w:pPr>
      <w:r>
        <w:rPr>
          <w:rFonts w:ascii="Arial" w:cs="Arial" w:eastAsia="Arial" w:hAnsi="Arial"/>
          <w:b w:val="false"/>
          <w:bCs w:val="false"/>
          <w:color w:val="6B6B6B"/>
          <w:sz w:val="22"/>
          <w:szCs w:val="22"/>
        </w:rPr>
        <w:t xml:space="preserve">One day, one story: the consolidated UI/UX redesign the team specified went fully live in the morning across seventeen production deployments; an independent validation of that delivery scored it 8.8/10 with two priority-one findings; both were fixed, verified live and re-validated the same day (revised score 9.4/10); a new read-only observer capability was added for safe leadership access to production; and every remaining open item from the redesign spec was then closed in a final evening wave. This note replaces the two separate updates circulated earlier today.</w:t>
      </w:r>
    </w:p>
    <w:p>
      <w:pPr>
        <w:pStyle w:val="Heading1"/>
      </w:pPr>
      <w:r>
        <w:rPr>
          <w:rFonts w:ascii="Arial" w:cs="Arial" w:eastAsia="Arial" w:hAnsi="Arial"/>
          <w:b/>
          <w:bCs/>
          <w:color w:val="FC5810"/>
          <w:sz w:val="26"/>
          <w:szCs w:val="26"/>
        </w:rPr>
        <w:t xml:space="preserve">Part 1 — The redesign, delivered</w:t>
      </w:r>
    </w:p>
    <w:p>
      <w:pPr>
        <w:spacing w:after="120"/>
      </w:pPr>
      <w:r>
        <w:rPr>
          <w:rFonts w:ascii="Arial" w:cs="Arial" w:eastAsia="Arial" w:hAnsi="Arial"/>
          <w:b w:val="false"/>
          <w:bCs w:val="false"/>
          <w:color w:val="222222"/>
          <w:sz w:val="22"/>
          <w:szCs w:val="22"/>
        </w:rPr>
        <w:t xml:space="preserve">We took the team’s “Consolidated UI/UX Redesign” document and delivered it stage by stage. Every deployment passed the automated release gate plus scripted browser tests on the live system, with screenshot evidence saved per screen. Business logic, permissions and the audit chain were not touched, exactly as the spec required.</w:t>
      </w:r>
    </w:p>
    <w:p>
      <w:pPr>
        <w:pStyle w:val="ListParagraph"/>
        <w:numPr>
          <w:ilvl w:val="0"/>
          <w:numId w:val="2"/>
        </w:numPr>
        <w:spacing w:after="80"/>
      </w:pPr>
      <w:r>
        <w:rPr>
          <w:rFonts w:ascii="Arial" w:cs="Arial" w:eastAsia="Arial" w:hAnsi="Arial"/>
          <w:b/>
          <w:bCs/>
          <w:color w:val="222222"/>
          <w:sz w:val="22"/>
          <w:szCs w:val="22"/>
        </w:rPr>
        <w:t xml:space="preserve">One design language (Stage 1). </w:t>
      </w:r>
      <w:r>
        <w:rPr>
          <w:rFonts w:ascii="Arial" w:cs="Arial" w:eastAsia="Arial" w:hAnsi="Arial"/>
          <w:color w:val="222222"/>
          <w:sz w:val="22"/>
          <w:szCs w:val="22"/>
        </w:rPr>
        <w:t xml:space="preserve">Every status badge on every Proximate page comes from a single shared palette — green means done, amber means waiting, red is reserved for genuinely critical things. Raw internal codes (dd_clear, pending_cosign) no longer appear anywhere a person reads, in all six languages, and lists explain what belongs in them instead of showing a bare “No X yet”.</w:t>
      </w:r>
    </w:p>
    <w:p>
      <w:pPr>
        <w:pStyle w:val="ListParagraph"/>
        <w:numPr>
          <w:ilvl w:val="0"/>
          <w:numId w:val="2"/>
        </w:numPr>
        <w:spacing w:after="80"/>
      </w:pPr>
      <w:r>
        <w:rPr>
          <w:rFonts w:ascii="Arial" w:cs="Arial" w:eastAsia="Arial" w:hAnsi="Arial"/>
          <w:b/>
          <w:bCs/>
          <w:color w:val="222222"/>
          <w:sz w:val="22"/>
          <w:szCs w:val="22"/>
        </w:rPr>
        <w:t xml:space="preserve">The console shell (Stage 2). </w:t>
      </w:r>
      <w:r>
        <w:rPr>
          <w:rFonts w:ascii="Arial" w:cs="Arial" w:eastAsia="Arial" w:hAnsi="Arial"/>
          <w:color w:val="222222"/>
          <w:sz w:val="22"/>
          <w:szCs w:val="22"/>
        </w:rPr>
        <w:t xml:space="preserve">The sidebar is organised into Workspace / Operations / Governance groups; detail pages show breadcrumbs; register filters live in the page address so a filtered view can be shared by link; and Ctrl/Cmd-K offers Proximate destinations to Proximate users instead of marketplace pages they cannot open.</w:t>
      </w:r>
    </w:p>
    <w:p>
      <w:pPr>
        <w:pStyle w:val="ListParagraph"/>
        <w:numPr>
          <w:ilvl w:val="0"/>
          <w:numId w:val="2"/>
        </w:numPr>
        <w:spacing w:after="80"/>
      </w:pPr>
      <w:r>
        <w:rPr>
          <w:rFonts w:ascii="Arial" w:cs="Arial" w:eastAsia="Arial" w:hAnsi="Arial"/>
          <w:b/>
          <w:bCs/>
          <w:color w:val="222222"/>
          <w:sz w:val="22"/>
          <w:szCs w:val="22"/>
        </w:rPr>
        <w:t xml:space="preserve">The working screens (Stage 3). </w:t>
      </w:r>
      <w:r>
        <w:rPr>
          <w:rFonts w:ascii="Arial" w:cs="Arial" w:eastAsia="Arial" w:hAnsi="Arial"/>
          <w:color w:val="222222"/>
          <w:sz w:val="22"/>
          <w:szCs w:val="22"/>
        </w:rPr>
        <w:t xml:space="preserve">Donor round and report cards rebuilt to donor grade; the rounds register gained status filter chips and each round page five tabs instead of one long scroll; the operator dashboard leads with “Requires attention”; the disbursements and partners registers filter, sort and paginate; partner pages are organised into Overview / Endorsements / Due diligence / Disbursements tabs (the community endorser’s simple three-question flow untouched); and endorser approvals became a real queue — names instead of “User #14”, a sanctions flag where relevant, and an explicit confirm step before approval.</w:t>
      </w:r>
    </w:p>
    <w:p>
      <w:pPr>
        <w:pStyle w:val="ListParagraph"/>
        <w:numPr>
          <w:ilvl w:val="0"/>
          <w:numId w:val="2"/>
        </w:numPr>
        <w:spacing w:after="80"/>
      </w:pPr>
      <w:r>
        <w:rPr>
          <w:rFonts w:ascii="Arial" w:cs="Arial" w:eastAsia="Arial" w:hAnsi="Arial"/>
          <w:b/>
          <w:bCs/>
          <w:color w:val="222222"/>
          <w:sz w:val="22"/>
          <w:szCs w:val="22"/>
        </w:rPr>
        <w:t xml:space="preserve">Governance surfaces (Stage 4). </w:t>
      </w:r>
      <w:r>
        <w:rPr>
          <w:rFonts w:ascii="Arial" w:cs="Arial" w:eastAsia="Arial" w:hAnsi="Arial"/>
          <w:color w:val="222222"/>
          <w:sz w:val="22"/>
          <w:szCs w:val="22"/>
        </w:rPr>
        <w:t xml:space="preserve">Grants show funding periods on compact cards; crisis signals show severity bands and a severity filter; the audit chain reads at two levels — collapsed rows say who did what to which record and when, one click expands the full hashes and payload for verification; notification preferences collapse to “category + how many channels on”.</w:t>
      </w:r>
    </w:p>
    <w:p>
      <w:pPr>
        <w:pStyle w:val="ListParagraph"/>
        <w:numPr>
          <w:ilvl w:val="0"/>
          <w:numId w:val="2"/>
        </w:numPr>
        <w:spacing w:after="80"/>
      </w:pPr>
      <w:r>
        <w:rPr>
          <w:rFonts w:ascii="Arial" w:cs="Arial" w:eastAsia="Arial" w:hAnsi="Arial"/>
          <w:b/>
          <w:bCs/>
          <w:color w:val="222222"/>
          <w:sz w:val="22"/>
          <w:szCs w:val="22"/>
        </w:rPr>
        <w:t xml:space="preserve">Verified on phones, in the dark, and in Arabic (Stage 5). </w:t>
      </w:r>
      <w:r>
        <w:rPr>
          <w:rFonts w:ascii="Arial" w:cs="Arial" w:eastAsia="Arial" w:hAnsi="Arial"/>
          <w:color w:val="222222"/>
          <w:sz w:val="22"/>
          <w:szCs w:val="22"/>
        </w:rPr>
        <w:t xml:space="preserve">All nine redesigned screens exercised at phone width with zero horizontal overflow and zero errors; key pages checked in dark mode; core screens verified in Arabic with a genuinely Arabic-language account confirming full right-to-left layout. No defects found.</w:t>
      </w:r>
    </w:p>
    <w:p>
      <w:pPr>
        <w:pStyle w:val="ListParagraph"/>
        <w:numPr>
          <w:ilvl w:val="0"/>
          <w:numId w:val="2"/>
        </w:numPr>
        <w:spacing w:after="80"/>
      </w:pPr>
      <w:r>
        <w:rPr>
          <w:rFonts w:ascii="Arial" w:cs="Arial" w:eastAsia="Arial" w:hAnsi="Arial"/>
          <w:b/>
          <w:bCs/>
          <w:color w:val="222222"/>
          <w:sz w:val="22"/>
          <w:szCs w:val="22"/>
        </w:rPr>
        <w:t xml:space="preserve">Also in the wave: </w:t>
      </w:r>
      <w:r>
        <w:rPr>
          <w:rFonts w:ascii="Arial" w:cs="Arial" w:eastAsia="Arial" w:hAnsi="Arial"/>
          <w:color w:val="222222"/>
          <w:sz w:val="22"/>
          <w:szCs w:val="22"/>
        </w:rPr>
        <w:t xml:space="preserve">the 18-July QA quick-win list (amber Plan-B alert, donor-facing labels, zero-state metrics, compile-prompt hardening) and the flagged-report rule — a flagged partner report now pauses the outcome step until the Proximate team resolves it, resuming automatically on re-verification. Both are permanent release-gate checks.</w:t>
      </w:r>
    </w:p>
    <w:p>
      <w:pPr>
        <w:pStyle w:val="Heading1"/>
      </w:pPr>
      <w:r>
        <w:rPr>
          <w:rFonts w:ascii="Arial" w:cs="Arial" w:eastAsia="Arial" w:hAnsi="Arial"/>
          <w:b/>
          <w:bCs/>
          <w:color w:val="FC5810"/>
          <w:sz w:val="26"/>
          <w:szCs w:val="26"/>
        </w:rPr>
        <w:t xml:space="preserve">Part 2 — Independent validation, and the fixes</w:t>
      </w:r>
    </w:p>
    <w:p>
      <w:pPr>
        <w:spacing w:after="120"/>
      </w:pPr>
      <w:r>
        <w:rPr>
          <w:rFonts w:ascii="Arial" w:cs="Arial" w:eastAsia="Arial" w:hAnsi="Arial"/>
          <w:b w:val="false"/>
          <w:bCs w:val="false"/>
          <w:color w:val="222222"/>
          <w:sz w:val="22"/>
          <w:szCs w:val="22"/>
        </w:rPr>
        <w:t xml:space="preserve">The delivery was validated against live production the same day: 8.8/10, category-defining workflow, two priority-one findings. Both were closed within hours and re-validated at 9.4/10.</w:t>
      </w:r>
    </w:p>
    <w:p>
      <w:pPr>
        <w:pStyle w:val="ListParagraph"/>
        <w:numPr>
          <w:ilvl w:val="0"/>
          <w:numId w:val="2"/>
        </w:numPr>
        <w:spacing w:after="80"/>
      </w:pPr>
      <w:r>
        <w:rPr>
          <w:rFonts w:ascii="Arial" w:cs="Arial" w:eastAsia="Arial" w:hAnsi="Arial"/>
          <w:b/>
          <w:bCs/>
          <w:color w:val="222222"/>
          <w:sz w:val="22"/>
          <w:szCs w:val="22"/>
        </w:rPr>
        <w:t xml:space="preserve">Marketplace banner removed from Proximate. </w:t>
      </w:r>
      <w:r>
        <w:rPr>
          <w:rFonts w:ascii="Arial" w:cs="Arial" w:eastAsia="Arial" w:hAnsi="Arial"/>
          <w:color w:val="222222"/>
          <w:sz w:val="22"/>
          <w:szCs w:val="22"/>
        </w:rPr>
        <w:t xml:space="preserve">Proximate users occasionally saw a Kuja marketplace “what’s new — open grants” banner — content they cannot open. The banner is suppressed on the Proximate tenant, and the backend feed itself now returns an empty digest for any Proximate session, so even a direct API call cannot pull marketplace data across the tenant boundary. The Kuja marketplace keeps its banner unchanged.</w:t>
      </w:r>
    </w:p>
    <w:p>
      <w:pPr>
        <w:pStyle w:val="ListParagraph"/>
        <w:numPr>
          <w:ilvl w:val="0"/>
          <w:numId w:val="2"/>
        </w:numPr>
        <w:spacing w:after="80"/>
      </w:pPr>
      <w:r>
        <w:rPr>
          <w:rFonts w:ascii="Arial" w:cs="Arial" w:eastAsia="Arial" w:hAnsi="Arial"/>
          <w:b/>
          <w:bCs/>
          <w:color w:val="222222"/>
          <w:sz w:val="22"/>
          <w:szCs w:val="22"/>
        </w:rPr>
        <w:t xml:space="preserve">Donor report page can never show internal review copy. </w:t>
      </w:r>
      <w:r>
        <w:rPr>
          <w:rFonts w:ascii="Arial" w:cs="Arial" w:eastAsia="Arial" w:hAnsi="Arial"/>
          <w:color w:val="222222"/>
          <w:sz w:val="22"/>
          <w:szCs w:val="22"/>
        </w:rPr>
        <w:t xml:space="preserve">The validator caught an internal instruction (“Everything is internal until you make it donor-visible”) appearing on a donor screen after switching accounts in the same browser. Root cause: the page trusted a cached browser notion of who is logged in, which can go stale across account switches. The server now tells the page, with each response, whether the viewer is the Proximate team or a donor — and internal copy renders only when the server says so. Verified live in the exact account-switching scenario that surfaced the bug.</w:t>
      </w:r>
    </w:p>
    <w:p>
      <w:pPr>
        <w:pStyle w:val="ListParagraph"/>
        <w:numPr>
          <w:ilvl w:val="0"/>
          <w:numId w:val="2"/>
        </w:numPr>
        <w:spacing w:after="80"/>
      </w:pPr>
      <w:r>
        <w:rPr>
          <w:rFonts w:ascii="Arial" w:cs="Arial" w:eastAsia="Arial" w:hAnsi="Arial"/>
          <w:b/>
          <w:bCs/>
          <w:color w:val="222222"/>
          <w:sz w:val="22"/>
          <w:szCs w:val="22"/>
        </w:rPr>
        <w:t xml:space="preserve">Audit chain readability. </w:t>
      </w:r>
      <w:r>
        <w:rPr>
          <w:rFonts w:ascii="Arial" w:cs="Arial" w:eastAsia="Arial" w:hAnsi="Arial"/>
          <w:color w:val="222222"/>
          <w:sz w:val="22"/>
          <w:szCs w:val="22"/>
        </w:rPr>
        <w:t xml:space="preserve">Collapsed audit rows show plain labels (“Report package #3”, “Disbursement #4”) instead of internal codes; the raw technical detail remains one click away for verification.</w:t>
      </w:r>
    </w:p>
    <w:p>
      <w:pPr>
        <w:pStyle w:val="ListParagraph"/>
        <w:numPr>
          <w:ilvl w:val="0"/>
          <w:numId w:val="2"/>
        </w:numPr>
        <w:spacing w:after="80"/>
      </w:pPr>
      <w:r>
        <w:rPr>
          <w:rFonts w:ascii="Arial" w:cs="Arial" w:eastAsia="Arial" w:hAnsi="Arial"/>
          <w:b/>
          <w:bCs/>
          <w:color w:val="222222"/>
          <w:sz w:val="22"/>
          <w:szCs w:val="22"/>
        </w:rPr>
        <w:t xml:space="preserve">Testing got stricter. </w:t>
      </w:r>
      <w:r>
        <w:rPr>
          <w:rFonts w:ascii="Arial" w:cs="Arial" w:eastAsia="Arial" w:hAnsi="Arial"/>
          <w:color w:val="222222"/>
          <w:sz w:val="22"/>
          <w:szCs w:val="22"/>
        </w:rPr>
        <w:t xml:space="preserve">The release gate grew from 94 to 96 checks, including new leak-class checks: the marketplace feed must come back empty under a Proximate session, and read-only accounts must be blocked from every change. The browser suite now rehearses the same-browser account-switch scenario on every run, so this class of bug cannot quietly return.</w:t>
      </w:r>
    </w:p>
    <w:p>
      <w:pPr>
        <w:pStyle w:val="Heading1"/>
      </w:pPr>
      <w:r>
        <w:rPr>
          <w:rFonts w:ascii="Arial" w:cs="Arial" w:eastAsia="Arial" w:hAnsi="Arial"/>
          <w:b/>
          <w:bCs/>
          <w:color w:val="FC5810"/>
          <w:sz w:val="26"/>
          <w:szCs w:val="26"/>
        </w:rPr>
        <w:t xml:space="preserve">Part 3 — New: read-only observer access</w:t>
      </w:r>
    </w:p>
    <w:p>
      <w:pPr>
        <w:pStyle w:val="ListParagraph"/>
        <w:numPr>
          <w:ilvl w:val="0"/>
          <w:numId w:val="2"/>
        </w:numPr>
        <w:spacing w:after="80"/>
      </w:pPr>
      <w:r>
        <w:rPr>
          <w:rFonts w:ascii="Arial" w:cs="Arial" w:eastAsia="Arial" w:hAnsi="Arial"/>
          <w:b/>
          <w:bCs/>
          <w:color w:val="222222"/>
          <w:sz w:val="22"/>
          <w:szCs w:val="22"/>
        </w:rPr>
        <w:t xml:space="preserve">What it is. </w:t>
      </w:r>
      <w:r>
        <w:rPr>
          <w:rFonts w:ascii="Arial" w:cs="Arial" w:eastAsia="Arial" w:hAnsi="Arial"/>
          <w:color w:val="222222"/>
          <w:sz w:val="22"/>
          <w:szCs w:val="22"/>
        </w:rPr>
        <w:t xml:space="preserve">Accounts can now be flagged read-only at the database level: they open every screen their role allows — across Kuja, NEAR and Proximate — but the server rejects any attempt to change anything, with a clear “this account is read-only” message. Enforced on the server on every request, not just hidden in the interface, and the flag cannot be set from within the application by anyone.</w:t>
      </w:r>
    </w:p>
    <w:p>
      <w:pPr>
        <w:pStyle w:val="ListParagraph"/>
        <w:numPr>
          <w:ilvl w:val="0"/>
          <w:numId w:val="2"/>
        </w:numPr>
        <w:spacing w:after="80"/>
      </w:pPr>
      <w:r>
        <w:rPr>
          <w:rFonts w:ascii="Arial" w:cs="Arial" w:eastAsia="Arial" w:hAnsi="Arial"/>
          <w:b/>
          <w:bCs/>
          <w:color w:val="222222"/>
          <w:sz w:val="22"/>
          <w:szCs w:val="22"/>
        </w:rPr>
        <w:t xml:space="preserve">First account provisioned. </w:t>
      </w:r>
      <w:r>
        <w:rPr>
          <w:rFonts w:ascii="Arial" w:cs="Arial" w:eastAsia="Arial" w:hAnsi="Arial"/>
          <w:color w:val="222222"/>
          <w:sz w:val="22"/>
          <w:szCs w:val="22"/>
        </w:rPr>
        <w:t xml:space="preserve">A read-only observer account with full visibility (platform admin surfaces plus the Proximate console) has been set up for Idiris; credentials were shared privately. Useful for demos, board walk-throughs, and reviewing production with zero risk of altering records.</w:t>
      </w:r>
    </w:p>
    <w:p>
      <w:pPr>
        <w:pStyle w:val="Heading1"/>
      </w:pPr>
      <w:r>
        <w:rPr>
          <w:rFonts w:ascii="Arial" w:cs="Arial" w:eastAsia="Arial" w:hAnsi="Arial"/>
          <w:b/>
          <w:bCs/>
          <w:color w:val="FC5810"/>
          <w:sz w:val="26"/>
          <w:szCs w:val="26"/>
        </w:rPr>
        <w:t xml:space="preserve">Part 4 — Every remaining spec item, closed</w:t>
      </w:r>
    </w:p>
    <w:p>
      <w:pPr>
        <w:spacing w:after="120"/>
      </w:pPr>
      <w:r>
        <w:rPr>
          <w:rFonts w:ascii="Arial" w:cs="Arial" w:eastAsia="Arial" w:hAnsi="Arial"/>
          <w:b w:val="false"/>
          <w:bCs w:val="false"/>
          <w:color w:val="222222"/>
          <w:sz w:val="22"/>
          <w:szCs w:val="22"/>
        </w:rPr>
        <w:t xml:space="preserve">A final evening wave addressed everything still open from the redesign document, so the spec is now delivered in full rather than "except for". All items verified live on production.</w:t>
      </w:r>
    </w:p>
    <w:p>
      <w:pPr>
        <w:pStyle w:val="ListParagraph"/>
        <w:numPr>
          <w:ilvl w:val="0"/>
          <w:numId w:val="2"/>
        </w:numPr>
        <w:spacing w:after="80"/>
      </w:pPr>
      <w:r>
        <w:rPr>
          <w:rFonts w:ascii="Arial" w:cs="Arial" w:eastAsia="Arial" w:hAnsi="Arial"/>
          <w:b/>
          <w:bCs/>
          <w:color w:val="222222"/>
          <w:sz w:val="22"/>
          <w:szCs w:val="22"/>
        </w:rPr>
        <w:t xml:space="preserve">Settings hub. </w:t>
      </w:r>
      <w:r>
        <w:rPr>
          <w:rFonts w:ascii="Arial" w:cs="Arial" w:eastAsia="Arial" w:hAnsi="Arial"/>
          <w:color w:val="222222"/>
          <w:sz w:val="22"/>
          <w:szCs w:val="22"/>
        </w:rPr>
        <w:t xml:space="preserve">The single Settings landing page the spec sketched now exists: profile, language, theme and low-bandwidth controls grouped with links to notification and security settings, plus role-appropriate extras (marketplace tools appear only on Kuja; administration links only for admins). Every Settings link in the sidebar, on every tenant, now lands here.</w:t>
      </w:r>
    </w:p>
    <w:p>
      <w:pPr>
        <w:pStyle w:val="ListParagraph"/>
        <w:numPr>
          <w:ilvl w:val="0"/>
          <w:numId w:val="2"/>
        </w:numPr>
        <w:spacing w:after="80"/>
      </w:pPr>
      <w:r>
        <w:rPr>
          <w:rFonts w:ascii="Arial" w:cs="Arial" w:eastAsia="Arial" w:hAnsi="Arial"/>
          <w:b/>
          <w:bCs/>
          <w:color w:val="222222"/>
          <w:sz w:val="22"/>
          <w:szCs w:val="22"/>
        </w:rPr>
        <w:t xml:space="preserve">Mobile bottom navigation. </w:t>
      </w:r>
      <w:r>
        <w:rPr>
          <w:rFonts w:ascii="Arial" w:cs="Arial" w:eastAsia="Arial" w:hAnsi="Arial"/>
          <w:color w:val="222222"/>
          <w:sz w:val="22"/>
          <w:szCs w:val="22"/>
        </w:rPr>
        <w:t xml:space="preserve">The Proximate team now gets the spec’s suggested phone navigation — Home, Rounds, Partners, Disbursements, More — visible only to the Oversight Body persona on phone-width screens. Donors and community endorsers keep their simpler flows unchanged.</w:t>
      </w:r>
    </w:p>
    <w:p>
      <w:pPr>
        <w:pStyle w:val="ListParagraph"/>
        <w:numPr>
          <w:ilvl w:val="0"/>
          <w:numId w:val="2"/>
        </w:numPr>
        <w:spacing w:after="80"/>
      </w:pPr>
      <w:r>
        <w:rPr>
          <w:rFonts w:ascii="Arial" w:cs="Arial" w:eastAsia="Arial" w:hAnsi="Arial"/>
          <w:b/>
          <w:bCs/>
          <w:color w:val="222222"/>
          <w:sz w:val="22"/>
          <w:szCs w:val="22"/>
        </w:rPr>
        <w:t xml:space="preserve">Saved filters. </w:t>
      </w:r>
      <w:r>
        <w:rPr>
          <w:rFonts w:ascii="Arial" w:cs="Arial" w:eastAsia="Arial" w:hAnsi="Arial"/>
          <w:color w:val="222222"/>
          <w:sz w:val="22"/>
          <w:szCs w:val="22"/>
        </w:rPr>
        <w:t xml:space="preserve">On the Partners register, a filtered view (status and search) can be saved as a named chip and re-applied with one tap. Saved on the device, up to six.</w:t>
      </w:r>
    </w:p>
    <w:p>
      <w:pPr>
        <w:pStyle w:val="ListParagraph"/>
        <w:numPr>
          <w:ilvl w:val="0"/>
          <w:numId w:val="2"/>
        </w:numPr>
        <w:spacing w:after="80"/>
      </w:pPr>
      <w:r>
        <w:rPr>
          <w:rFonts w:ascii="Arial" w:cs="Arial" w:eastAsia="Arial" w:hAnsi="Arial"/>
          <w:b/>
          <w:bCs/>
          <w:color w:val="222222"/>
          <w:sz w:val="22"/>
          <w:szCs w:val="22"/>
        </w:rPr>
        <w:t xml:space="preserve">Previous / next record navigation. </w:t>
      </w:r>
      <w:r>
        <w:rPr>
          <w:rFonts w:ascii="Arial" w:cs="Arial" w:eastAsia="Arial" w:hAnsi="Arial"/>
          <w:color w:val="222222"/>
          <w:sz w:val="22"/>
          <w:szCs w:val="22"/>
        </w:rPr>
        <w:t xml:space="preserve">Reviewers walking the partner register can now step to the previous or next partner directly from a partner’s page, in the register’s order, keeping the tab they were reading.</w:t>
      </w:r>
    </w:p>
    <w:p>
      <w:pPr>
        <w:pStyle w:val="ListParagraph"/>
        <w:numPr>
          <w:ilvl w:val="0"/>
          <w:numId w:val="2"/>
        </w:numPr>
        <w:spacing w:after="80"/>
      </w:pPr>
      <w:r>
        <w:rPr>
          <w:rFonts w:ascii="Arial" w:cs="Arial" w:eastAsia="Arial" w:hAnsi="Arial"/>
          <w:b/>
          <w:bCs/>
          <w:color w:val="222222"/>
          <w:sz w:val="22"/>
          <w:szCs w:val="22"/>
        </w:rPr>
        <w:t xml:space="preserve">Tablet verified. </w:t>
      </w:r>
      <w:r>
        <w:rPr>
          <w:rFonts w:ascii="Arial" w:cs="Arial" w:eastAsia="Arial" w:hAnsi="Arial"/>
          <w:color w:val="222222"/>
          <w:sz w:val="22"/>
          <w:szCs w:val="22"/>
        </w:rPr>
        <w:t xml:space="preserve">The one missing acceptance-criteria pass ran on both tablet orientations (768×1024 and 1024×768) across all redesigned screens plus the new Settings hub: forty of forty checks passed with zero overflow and zero errors, with screenshot evidence per screen. The tablet sweep now runs as part of the standing verification set.</w:t>
      </w:r>
    </w:p>
    <w:p>
      <w:pPr>
        <w:pStyle w:val="Heading1"/>
      </w:pPr>
      <w:r>
        <w:rPr>
          <w:rFonts w:ascii="Arial" w:cs="Arial" w:eastAsia="Arial" w:hAnsi="Arial"/>
          <w:b/>
          <w:bCs/>
          <w:color w:val="FC5810"/>
          <w:sz w:val="26"/>
          <w:szCs w:val="26"/>
        </w:rPr>
        <w:t xml:space="preserve">What we deliberately did not change</w:t>
      </w:r>
    </w:p>
    <w:p>
      <w:pPr>
        <w:pStyle w:val="ListParagraph"/>
        <w:numPr>
          <w:ilvl w:val="0"/>
          <w:numId w:val="2"/>
        </w:numPr>
        <w:spacing w:after="80"/>
      </w:pPr>
      <w:r>
        <w:rPr>
          <w:rFonts w:ascii="Arial" w:cs="Arial" w:eastAsia="Arial" w:hAnsi="Arial"/>
          <w:b/>
          <w:bCs/>
          <w:color w:val="222222"/>
          <w:sz w:val="22"/>
          <w:szCs w:val="22"/>
        </w:rPr>
        <w:t xml:space="preserve">No business logic, no permissions, no records. </w:t>
      </w:r>
      <w:r>
        <w:rPr>
          <w:rFonts w:ascii="Arial" w:cs="Arial" w:eastAsia="Arial" w:hAnsi="Arial"/>
          <w:color w:val="222222"/>
          <w:sz w:val="22"/>
          <w:szCs w:val="22"/>
        </w:rPr>
        <w:t xml:space="preserve">The redesign was presentation only: every workflow, approval rule, RBAC gate and audit behaviour works exactly as before. The Blue Nile round, QA’s flagged test disbursement, and the validator’s re-validation artifacts were all left exactly as they were.</w:t>
      </w:r>
    </w:p>
    <w:p>
      <w:pPr>
        <w:pStyle w:val="Heading1"/>
      </w:pPr>
      <w:r>
        <w:rPr>
          <w:rFonts w:ascii="Arial" w:cs="Arial" w:eastAsia="Arial" w:hAnsi="Arial"/>
          <w:b/>
          <w:bCs/>
          <w:color w:val="FC5810"/>
          <w:sz w:val="26"/>
          <w:szCs w:val="26"/>
        </w:rPr>
        <w:t xml:space="preserve">Still open (tracked, unchanged)</w:t>
      </w:r>
    </w:p>
    <w:p>
      <w:pPr>
        <w:pStyle w:val="ListParagraph"/>
        <w:numPr>
          <w:ilvl w:val="0"/>
          <w:numId w:val="2"/>
        </w:numPr>
        <w:spacing w:after="80"/>
      </w:pPr>
      <w:r>
        <w:rPr>
          <w:rFonts w:ascii="Arial" w:cs="Arial" w:eastAsia="Arial" w:hAnsi="Arial"/>
          <w:b/>
          <w:bCs/>
          <w:color w:val="222222"/>
          <w:sz w:val="22"/>
          <w:szCs w:val="22"/>
        </w:rPr>
        <w:t xml:space="preserve">Arabic coverage: </w:t>
      </w:r>
      <w:r>
        <w:rPr>
          <w:rFonts w:ascii="Arial" w:cs="Arial" w:eastAsia="Arial" w:hAnsi="Arial"/>
          <w:color w:val="222222"/>
          <w:sz w:val="22"/>
          <w:szCs w:val="22"/>
        </w:rPr>
        <w:t xml:space="preserve">the newest operator and guidance copy is English-only — a dedicated Arabic wave is scoped in the backlog, alongside the standing Sudanese-Arabic native-speaker review of one generated report PDF.</w:t>
      </w:r>
    </w:p>
    <w:p>
      <w:pPr>
        <w:pStyle w:val="ListParagraph"/>
        <w:numPr>
          <w:ilvl w:val="0"/>
          <w:numId w:val="2"/>
        </w:numPr>
        <w:spacing w:after="80"/>
      </w:pPr>
      <w:r>
        <w:rPr>
          <w:rFonts w:ascii="Arial" w:cs="Arial" w:eastAsia="Arial" w:hAnsi="Arial"/>
          <w:b/>
          <w:bCs/>
          <w:color w:val="222222"/>
          <w:sz w:val="22"/>
          <w:szCs w:val="22"/>
        </w:rPr>
        <w:t xml:space="preserve">WhatsApp reminders: </w:t>
      </w:r>
      <w:r>
        <w:rPr>
          <w:rFonts w:ascii="Arial" w:cs="Arial" w:eastAsia="Arial" w:hAnsi="Arial"/>
          <w:color w:val="222222"/>
          <w:sz w:val="22"/>
          <w:szCs w:val="22"/>
        </w:rPr>
        <w:t xml:space="preserve">sender is live; the six message templates are still awaiting Meta approval, after which reminder sends get wired in.</w:t>
      </w:r>
    </w:p>
    <w:p>
      <w:pPr>
        <w:pStyle w:val="ListParagraph"/>
        <w:numPr>
          <w:ilvl w:val="0"/>
          <w:numId w:val="2"/>
        </w:numPr>
        <w:spacing w:after="80"/>
      </w:pPr>
      <w:r>
        <w:rPr>
          <w:rFonts w:ascii="Arial" w:cs="Arial" w:eastAsia="Arial" w:hAnsi="Arial"/>
          <w:b/>
          <w:bCs/>
          <w:color w:val="222222"/>
          <w:sz w:val="22"/>
          <w:szCs w:val="22"/>
        </w:rPr>
        <w:t xml:space="preserve">Small items: </w:t>
      </w:r>
      <w:r>
        <w:rPr>
          <w:rFonts w:ascii="Arial" w:cs="Arial" w:eastAsia="Arial" w:hAnsi="Arial"/>
          <w:color w:val="222222"/>
          <w:sz w:val="22"/>
          <w:szCs w:val="22"/>
        </w:rPr>
        <w:t xml:space="preserve">free SAM.gov key on Railway; QCF temporary password change on first login.</w:t>
      </w:r>
    </w:p>
    <w:p>
      <w:pPr>
        <w:spacing w:before="240"/>
      </w:pPr>
      <w:r>
        <w:rPr>
          <w:rFonts w:ascii="Arial" w:cs="Arial" w:eastAsia="Arial" w:hAnsi="Arial"/>
          <w:color w:val="6B6B6B"/>
          <w:sz w:val="18"/>
          <w:szCs w:val="18"/>
        </w:rPr>
        <w:t xml:space="preserve">Production builds covered: 77c91ca0f (QA-18 + flagged-report rule), 2b79ba4fe (design system), ff6f65bf5 (shell), 409f27335 / c7ff60ee5 / dde4ce0c8 / c8fe52d39 / 957ae5791 / 9d9e682e3 / 513d30094 / 59d4fb8f6 (working screens), a257e27eb / adcb07591 / f518ecc97 (governance surfaces), 131044a7d (validation P1s + audit labels + test hardening), e542ba716 (whats-new backend tenant guard), a9a1a8684 (read-only observer accounts), 356ccf372 (settings hub + mobile bottom nav + saved filters + prev/next + tablet sweep) — all live and verified on production. Release gate: 96 automated checks, green. Prepared 18 July 2026; supersedes the two separate updates from earlier today.</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C5810" w:sz="6" w:space="2"/>
      </w:pBdr>
      <w:spacing w:after="100" w:before="280"/>
      <w:outlineLvl w:val="0"/>
    </w:pPr>
    <w:rPr>
      <w:rFonts w:ascii="Arial" w:cs="Arial" w:eastAsia="Arial" w:hAnsi="Arial"/>
      <w:b/>
      <w:bCs/>
      <w:color w:val="FC58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2026-07-19T05:39:10.555Z</dcterms:created>
  <dcterms:modified xsi:type="dcterms:W3CDTF">2026-07-19T05:39:10.557Z</dcterms:modified>
</cp:coreProperties>
</file>

<file path=docProps/custom.xml><?xml version="1.0" encoding="utf-8"?>
<Properties xmlns="http://schemas.openxmlformats.org/officeDocument/2006/custom-properties" xmlns:vt="http://schemas.openxmlformats.org/officeDocument/2006/docPropsVTypes"/>
</file>