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56" w:rsidRDefault="0013602D">
      <w:r>
        <w:t xml:space="preserve">-) Requête de sélection des membres de l’équipe d’un manager avec la liste des tâches de production et des tâches annexes </w:t>
      </w:r>
      <w:r w:rsidR="0072098E" w:rsidRPr="0072098E">
        <w:t>pour tous les logiciels et toutes les versions</w:t>
      </w:r>
    </w:p>
    <w:p w:rsidR="0013602D" w:rsidRDefault="0013602D">
      <w:r>
        <w:t>- Les personnes de l’équipe n’ayant pas de tâches sont aussi sélectionnées</w:t>
      </w:r>
    </w:p>
    <w:p w:rsidR="0072098E" w:rsidRDefault="0072098E">
      <w:r>
        <w:t>- toutes les tâches même celles n’ayant pas de travail</w:t>
      </w:r>
    </w:p>
    <w:p w:rsidR="00AB5329" w:rsidRDefault="00AB5329"/>
    <w:p w:rsidR="00F33548" w:rsidRDefault="00F33548">
      <w:r>
        <w:t>Documentation technique</w:t>
      </w:r>
    </w:p>
    <w:p w:rsidR="00EF284E" w:rsidRDefault="00EF284E">
      <w:r>
        <w:t>L’objectif de cette documentation est de préciser dans les grandes lignes l’architecture technique de chaque module de l’application.</w:t>
      </w:r>
    </w:p>
    <w:p w:rsidR="00EF284E" w:rsidRDefault="00EF284E"/>
    <w:p w:rsidR="00F33548" w:rsidRDefault="00F33548">
      <w:r>
        <w:t>Structure de la solution</w:t>
      </w:r>
    </w:p>
    <w:p w:rsidR="00F33548" w:rsidRDefault="00F33548">
      <w:r>
        <w:t>L’application respecte l’architecture MVVM. Elle est ainsi découpée en trois couches, représentées par des dossiers contenus dans la solution.</w:t>
      </w:r>
    </w:p>
    <w:p w:rsidR="00F33548" w:rsidRDefault="00360957" w:rsidP="00F33548">
      <w:pPr>
        <w:pStyle w:val="Paragraphedeliste"/>
        <w:numPr>
          <w:ilvl w:val="0"/>
          <w:numId w:val="1"/>
        </w:numPr>
      </w:pPr>
      <w:r>
        <w:t>« </w:t>
      </w:r>
      <w:proofErr w:type="spellStart"/>
      <w:r w:rsidR="00F33548">
        <w:t>View</w:t>
      </w:r>
      <w:proofErr w:type="spellEnd"/>
      <w:r>
        <w:t> »</w:t>
      </w:r>
      <w:r w:rsidR="00F33548">
        <w:t> : contient les vues représentant l’interface visuelle utilisateur.</w:t>
      </w:r>
    </w:p>
    <w:p w:rsidR="00F33548" w:rsidRDefault="00360957" w:rsidP="00F33548">
      <w:pPr>
        <w:pStyle w:val="Paragraphedeliste"/>
        <w:numPr>
          <w:ilvl w:val="0"/>
          <w:numId w:val="1"/>
        </w:numPr>
      </w:pPr>
      <w:r>
        <w:t>« </w:t>
      </w:r>
      <w:r w:rsidR="00F33548">
        <w:t>Model</w:t>
      </w:r>
      <w:r>
        <w:t> »</w:t>
      </w:r>
      <w:r w:rsidR="00F33548">
        <w:t> : contient les DAL gérant les opérations et les interactions avec la base de données.</w:t>
      </w:r>
    </w:p>
    <w:p w:rsidR="00F33548" w:rsidRDefault="00360957" w:rsidP="00F33548">
      <w:pPr>
        <w:pStyle w:val="Paragraphedeliste"/>
        <w:numPr>
          <w:ilvl w:val="0"/>
          <w:numId w:val="1"/>
        </w:numPr>
      </w:pPr>
      <w:r>
        <w:t>« </w:t>
      </w:r>
      <w:proofErr w:type="spellStart"/>
      <w:r w:rsidR="00F33548">
        <w:t>ViewModel</w:t>
      </w:r>
      <w:proofErr w:type="spellEnd"/>
      <w:r>
        <w:t> »</w:t>
      </w:r>
      <w:r w:rsidR="00F33548">
        <w:t> :</w:t>
      </w:r>
      <w:r w:rsidR="00351DB4">
        <w:t xml:space="preserve"> contient</w:t>
      </w:r>
      <w:r>
        <w:t xml:space="preserve"> les contextes </w:t>
      </w:r>
      <w:proofErr w:type="gramStart"/>
      <w:r>
        <w:t>associées</w:t>
      </w:r>
      <w:proofErr w:type="gramEnd"/>
      <w:r>
        <w:t xml:space="preserve"> aux vues, permettant un lien entre les vues et les modèles.</w:t>
      </w:r>
    </w:p>
    <w:p w:rsidR="00F33548" w:rsidRDefault="00360957">
      <w:r>
        <w:t>La solution est également composée d’un dossier « </w:t>
      </w:r>
      <w:proofErr w:type="spellStart"/>
      <w:r>
        <w:t>Entity</w:t>
      </w:r>
      <w:proofErr w:type="spellEnd"/>
      <w:r>
        <w:t> »</w:t>
      </w:r>
      <w:r w:rsidR="00E83267">
        <w:t xml:space="preserve"> contenant toutes les classes POCO nécessaires à la gestion de l’application.</w:t>
      </w:r>
    </w:p>
    <w:p w:rsidR="00E83267" w:rsidRDefault="00E83267">
      <w:r>
        <w:t>Des convertisseurs sont également disponibles dans la racine de la solution.</w:t>
      </w:r>
    </w:p>
    <w:p w:rsidR="00EF284E" w:rsidRDefault="00EF284E"/>
    <w:p w:rsidR="00EF284E" w:rsidRDefault="00EF284E"/>
    <w:p w:rsidR="005B1F85" w:rsidRDefault="00E70B96">
      <w:r>
        <w:t xml:space="preserve">L’application est découpée selon </w:t>
      </w:r>
      <w:r w:rsidR="0090413B">
        <w:t>cinq</w:t>
      </w:r>
      <w:r w:rsidR="005B1F85">
        <w:t xml:space="preserve"> modules :</w:t>
      </w:r>
    </w:p>
    <w:p w:rsidR="005B1F85" w:rsidRDefault="005B1F85" w:rsidP="005B1F85">
      <w:pPr>
        <w:pStyle w:val="Paragraphedeliste"/>
        <w:numPr>
          <w:ilvl w:val="0"/>
          <w:numId w:val="1"/>
        </w:numPr>
      </w:pPr>
      <w:r>
        <w:t>Gestion des tâches de production</w:t>
      </w:r>
    </w:p>
    <w:p w:rsidR="005B1F85" w:rsidRDefault="005B1F85" w:rsidP="005B1F85">
      <w:pPr>
        <w:pStyle w:val="Paragraphedeliste"/>
        <w:numPr>
          <w:ilvl w:val="0"/>
          <w:numId w:val="1"/>
        </w:numPr>
      </w:pPr>
      <w:r>
        <w:t>Gestion des tâches annexes</w:t>
      </w:r>
    </w:p>
    <w:p w:rsidR="005B1F85" w:rsidRDefault="005B1F85" w:rsidP="005B1F85">
      <w:pPr>
        <w:pStyle w:val="Paragraphedeliste"/>
        <w:numPr>
          <w:ilvl w:val="0"/>
          <w:numId w:val="1"/>
        </w:numPr>
      </w:pPr>
      <w:r>
        <w:t>Saisie de temps</w:t>
      </w:r>
    </w:p>
    <w:p w:rsidR="005B1F85" w:rsidRDefault="005B1F85" w:rsidP="005B1F85">
      <w:pPr>
        <w:pStyle w:val="Paragraphedeliste"/>
        <w:numPr>
          <w:ilvl w:val="0"/>
          <w:numId w:val="1"/>
        </w:numPr>
      </w:pPr>
      <w:r>
        <w:t>Exportation des données</w:t>
      </w:r>
    </w:p>
    <w:p w:rsidR="005B1F85" w:rsidRDefault="005B1F85" w:rsidP="0090413B">
      <w:pPr>
        <w:pStyle w:val="Paragraphedeliste"/>
        <w:numPr>
          <w:ilvl w:val="0"/>
          <w:numId w:val="1"/>
        </w:numPr>
      </w:pPr>
      <w:r>
        <w:t>Synthèse des versions</w:t>
      </w:r>
    </w:p>
    <w:p w:rsidR="0090413B" w:rsidRDefault="0090413B" w:rsidP="0090413B"/>
    <w:p w:rsidR="0005694D" w:rsidRDefault="0005694D" w:rsidP="00262D39">
      <w:pPr>
        <w:pStyle w:val="Titre1"/>
      </w:pPr>
      <w:r>
        <w:t>Module « Gestion des tâches annexes »</w:t>
      </w:r>
    </w:p>
    <w:p w:rsidR="0005694D" w:rsidRDefault="0005694D" w:rsidP="0090413B">
      <w:r>
        <w:t>L’interface associée à ce module permet au manager d’une équipe de créer ou supprimer des tâches annexes de chaque personne de son équipe, lui compris.</w:t>
      </w:r>
      <w:r w:rsidR="00417757">
        <w:t xml:space="preserve"> La liste des activités annexes est fixe et chaque personne ne peut avoir qu’une seule tâche par activité annexe.</w:t>
      </w:r>
    </w:p>
    <w:p w:rsidR="0077592F" w:rsidRDefault="0077592F" w:rsidP="0090413B">
      <w:r>
        <w:t xml:space="preserve">Concernant l’accessibilité des fonctions de la fenêtre, les éléments de gestion des tâches annexes sont uniquement disponibles si l’utilisateur courant a un statut de manager. Dans le cas contraire, ces éléments sont grisés et l’utilisateur n’accède finalement qu’aux informations le concernant. De </w:t>
      </w:r>
      <w:r>
        <w:lastRenderedPageBreak/>
        <w:t xml:space="preserve">plus, seul le manager peut accéder à l’ensemble des membres de l’équipe. </w:t>
      </w:r>
      <w:r w:rsidR="00CE4635">
        <w:t>Pour les autres utilisateurs, seules leurs informations sont accessibles.</w:t>
      </w:r>
    </w:p>
    <w:p w:rsidR="00BA3854" w:rsidRDefault="00417757" w:rsidP="0090413B">
      <w:r>
        <w:t>L</w:t>
      </w:r>
      <w:r w:rsidR="005D02DF">
        <w:t>ors du lancement</w:t>
      </w:r>
      <w:r>
        <w:t xml:space="preserve"> du module</w:t>
      </w:r>
      <w:r w:rsidR="005D02DF">
        <w:t xml:space="preserve">, </w:t>
      </w:r>
      <w:r>
        <w:t>la</w:t>
      </w:r>
      <w:r w:rsidR="005D02DF">
        <w:t xml:space="preserve"> liste de</w:t>
      </w:r>
      <w:r>
        <w:t xml:space="preserve">s membres de l’équipe concernée </w:t>
      </w:r>
      <w:r w:rsidR="005D02DF">
        <w:t>avec leurs tâches ann</w:t>
      </w:r>
      <w:r w:rsidR="00BA3854">
        <w:t>exes est chargée via une requête</w:t>
      </w:r>
      <w:r w:rsidR="005D02DF">
        <w:t>.</w:t>
      </w:r>
      <w:r>
        <w:t xml:space="preserve"> </w:t>
      </w:r>
      <w:r w:rsidR="0077592F">
        <w:t xml:space="preserve">Pour chaque membre de l’équipe, la liste des tâches annexes est complétée pour faire apparaître la totalité des activités annexes disponibles (la liste des activités est chargée </w:t>
      </w:r>
      <w:r w:rsidR="00BA3854">
        <w:t xml:space="preserve">par </w:t>
      </w:r>
      <w:proofErr w:type="spellStart"/>
      <w:r w:rsidR="00BA3854">
        <w:t>requêtage</w:t>
      </w:r>
      <w:proofErr w:type="spellEnd"/>
      <w:r w:rsidR="0077592F">
        <w:t>).</w:t>
      </w:r>
      <w:r w:rsidR="00BA3854">
        <w:t xml:space="preserve"> L’affectation ou non d’une activité à une personne est alors gérée à l’aide d’un booléen.</w:t>
      </w:r>
    </w:p>
    <w:p w:rsidR="005D02DF" w:rsidRDefault="0077592F" w:rsidP="0090413B">
      <w:r>
        <w:t xml:space="preserve">Les informations </w:t>
      </w:r>
      <w:r w:rsidR="00BA3854">
        <w:t>o</w:t>
      </w:r>
      <w:r>
        <w:t xml:space="preserve">btenues sont affichées dans une </w:t>
      </w:r>
      <w:proofErr w:type="spellStart"/>
      <w:r>
        <w:t>ListBox</w:t>
      </w:r>
      <w:proofErr w:type="spellEnd"/>
      <w:r>
        <w:t xml:space="preserve"> et une </w:t>
      </w:r>
      <w:proofErr w:type="spellStart"/>
      <w:r>
        <w:t>ListView</w:t>
      </w:r>
      <w:proofErr w:type="spellEnd"/>
      <w:r w:rsidR="00BA3854">
        <w:t xml:space="preserve">, selon un mode maître-détail. La liste des personnes est affichée dans la </w:t>
      </w:r>
      <w:proofErr w:type="spellStart"/>
      <w:r w:rsidR="00BA3854">
        <w:t>ListBox</w:t>
      </w:r>
      <w:proofErr w:type="spellEnd"/>
      <w:r w:rsidR="00BA3854">
        <w:t xml:space="preserve"> (maître) et le détail de </w:t>
      </w:r>
      <w:r w:rsidR="00611226">
        <w:t>son élément courant est affiché</w:t>
      </w:r>
      <w:r w:rsidR="00BA3854">
        <w:t xml:space="preserve"> dans une </w:t>
      </w:r>
      <w:proofErr w:type="spellStart"/>
      <w:r w:rsidR="00BA3854">
        <w:t>ListView</w:t>
      </w:r>
      <w:proofErr w:type="spellEnd"/>
      <w:r w:rsidR="00BA3854">
        <w:t>.</w:t>
      </w:r>
    </w:p>
    <w:p w:rsidR="0064135A" w:rsidRDefault="0064135A" w:rsidP="0090413B">
      <w:r>
        <w:t xml:space="preserve">Des </w:t>
      </w:r>
      <w:proofErr w:type="spellStart"/>
      <w:r>
        <w:t>CheckBox</w:t>
      </w:r>
      <w:proofErr w:type="spellEnd"/>
      <w:r>
        <w:t xml:space="preserve"> permettent d’afficher le statut d’assignation des activités annexes et un bouton d’enregistrement permet de lancer une méthode implémentant l’ajout et la suppression des tâches annexes dans la base de données. Après appui sur la touche d’enregistrement, la liste des tâches actuelle est comparée à celle de départ, permettant de détecter les changements effectués par le manager. Pour chaque tâche annexe dont l’assignation associée a changé de valeur, une requête d’ajout ou de suppression de cette tâche est lancée.</w:t>
      </w:r>
    </w:p>
    <w:p w:rsidR="00262D39" w:rsidRDefault="00262D39" w:rsidP="00262D39">
      <w:pPr>
        <w:pStyle w:val="Titre3"/>
        <w:rPr>
          <w:u w:val="single"/>
        </w:rPr>
      </w:pPr>
      <w:r w:rsidRPr="00262D39">
        <w:rPr>
          <w:u w:val="single"/>
        </w:rPr>
        <w:t>Travail restant</w:t>
      </w:r>
    </w:p>
    <w:p w:rsidR="00262D39" w:rsidRPr="00262D39" w:rsidRDefault="00262D39" w:rsidP="00262D39">
      <w:bookmarkStart w:id="0" w:name="_GoBack"/>
      <w:bookmarkEnd w:id="0"/>
    </w:p>
    <w:p w:rsidR="00262D39" w:rsidRPr="00262D39" w:rsidRDefault="00262D39" w:rsidP="00262D39">
      <w:r w:rsidRPr="00262D39">
        <w:t>[Gestion des tâches annexes] --&gt; Lors de la modification d'une tâche d'une personne, il faudrait verrouiller la liste des employés.</w:t>
      </w:r>
    </w:p>
    <w:p w:rsidR="00262D39" w:rsidRPr="00262D39" w:rsidRDefault="00262D39" w:rsidP="00262D39">
      <w:r w:rsidRPr="00262D39">
        <w:t>Il faudrait alors cliquer sur le bouton enregistrer pour pouvoir sélectionner un autre employé.</w:t>
      </w:r>
    </w:p>
    <w:p w:rsidR="00262D39" w:rsidRPr="00262D39" w:rsidRDefault="00262D39" w:rsidP="00262D39">
      <w:r w:rsidRPr="00262D39">
        <w:t>Ce cas se présente seulement si l'utilisateur de l'application a le statut de manager.</w:t>
      </w:r>
    </w:p>
    <w:p w:rsidR="00262D39" w:rsidRPr="00262D39" w:rsidRDefault="00262D39" w:rsidP="00262D39">
      <w:r w:rsidRPr="00262D39">
        <w:t>[Gestion des tâches annexes] --&gt; Il reste à gérer le rafraîchissement du champ description suite à une suppression.</w:t>
      </w:r>
    </w:p>
    <w:p w:rsidR="00262D39" w:rsidRDefault="00262D39" w:rsidP="0090413B"/>
    <w:sectPr w:rsidR="00262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57D"/>
    <w:multiLevelType w:val="hybridMultilevel"/>
    <w:tmpl w:val="0A8E68B6"/>
    <w:lvl w:ilvl="0" w:tplc="4D7E3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4C"/>
    <w:rsid w:val="0005694D"/>
    <w:rsid w:val="0013602D"/>
    <w:rsid w:val="00262D39"/>
    <w:rsid w:val="00351DB4"/>
    <w:rsid w:val="00360957"/>
    <w:rsid w:val="00417757"/>
    <w:rsid w:val="004A6856"/>
    <w:rsid w:val="005B1F85"/>
    <w:rsid w:val="005D02DF"/>
    <w:rsid w:val="00611226"/>
    <w:rsid w:val="0064135A"/>
    <w:rsid w:val="006D653F"/>
    <w:rsid w:val="0072098E"/>
    <w:rsid w:val="0077592F"/>
    <w:rsid w:val="0090413B"/>
    <w:rsid w:val="0099024C"/>
    <w:rsid w:val="00AB5329"/>
    <w:rsid w:val="00BA3854"/>
    <w:rsid w:val="00CE4635"/>
    <w:rsid w:val="00E70B96"/>
    <w:rsid w:val="00E83267"/>
    <w:rsid w:val="00EF284E"/>
    <w:rsid w:val="00F3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F7FC-753F-4550-A8E1-BE52413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2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2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548"/>
    <w:pPr>
      <w:ind w:left="720"/>
      <w:contextualSpacing/>
    </w:pPr>
  </w:style>
  <w:style w:type="character" w:customStyle="1" w:styleId="Titre2Car">
    <w:name w:val="Titre 2 Car"/>
    <w:basedOn w:val="Policepardfaut"/>
    <w:link w:val="Titre2"/>
    <w:uiPriority w:val="9"/>
    <w:rsid w:val="00262D3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262D3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262D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564</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Irène DJOU-FOMEKONG</dc:creator>
  <cp:keywords/>
  <dc:description/>
  <cp:lastModifiedBy>Matthis GOLLAIN</cp:lastModifiedBy>
  <cp:revision>19</cp:revision>
  <dcterms:created xsi:type="dcterms:W3CDTF">2017-05-19T14:37:00Z</dcterms:created>
  <dcterms:modified xsi:type="dcterms:W3CDTF">2017-05-24T13:34:00Z</dcterms:modified>
</cp:coreProperties>
</file>