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02EF9" w14:textId="77777777" w:rsidR="007A5790" w:rsidRPr="00C042E8" w:rsidRDefault="00000000">
      <w:pPr>
        <w:spacing w:after="59" w:line="229" w:lineRule="auto"/>
        <w:ind w:left="10" w:hanging="10"/>
        <w:jc w:val="center"/>
        <w:rPr>
          <w:rFonts w:asciiTheme="majorHAnsi" w:hAnsiTheme="majorHAnsi"/>
        </w:rPr>
      </w:pPr>
      <w:r>
        <w:rPr>
          <w:rFonts w:asciiTheme="majorHAnsi" w:hAnsiTheme="majorHAnsi"/>
          <w:sz w:val="48"/>
        </w:rPr>
        <w:t>Traffic Optimisation and Route Redistribution</w:t>
      </w:r>
    </w:p>
    <w:p w14:paraId="7C66F486" w14:textId="77777777" w:rsidR="007A5790" w:rsidRPr="00C042E8" w:rsidRDefault="00000000">
      <w:pPr>
        <w:spacing w:after="59" w:line="229" w:lineRule="auto"/>
        <w:ind w:left="10" w:hanging="10"/>
        <w:jc w:val="center"/>
        <w:rPr>
          <w:rFonts w:asciiTheme="majorHAnsi" w:hAnsiTheme="majorHAnsi"/>
        </w:rPr>
      </w:pPr>
      <w:r>
        <w:rPr>
          <w:rFonts w:asciiTheme="majorHAnsi" w:hAnsiTheme="majorHAnsi"/>
          <w:sz w:val="48"/>
        </w:rPr>
        <w:t>System: A Deep Reinforcement Learning Approach for Network-Wide Congestion Mitigation in Malta</w:t>
      </w:r>
    </w:p>
    <w:p w14:paraId="14BFB271" w14:textId="77777777" w:rsidR="007A5790" w:rsidRPr="00C042E8" w:rsidRDefault="00000000">
      <w:pPr>
        <w:spacing w:after="217" w:line="259" w:lineRule="auto"/>
        <w:ind w:left="0" w:firstLine="0"/>
        <w:jc w:val="center"/>
        <w:rPr>
          <w:rFonts w:asciiTheme="majorHAnsi" w:hAnsiTheme="majorHAnsi"/>
        </w:rPr>
      </w:pPr>
      <w:r>
        <w:rPr>
          <w:rFonts w:asciiTheme="majorHAnsi" w:hAnsiTheme="majorHAnsi"/>
          <w:sz w:val="22"/>
        </w:rPr>
        <w:t>Kyle Austin</w:t>
      </w:r>
    </w:p>
    <w:p w14:paraId="192D52F9" w14:textId="0540898E" w:rsidR="007A5790" w:rsidRPr="00C042E8" w:rsidRDefault="00000000">
      <w:pPr>
        <w:spacing w:after="3" w:line="251" w:lineRule="auto"/>
        <w:ind w:left="2178" w:right="2098" w:hanging="10"/>
        <w:jc w:val="center"/>
        <w:rPr>
          <w:rFonts w:asciiTheme="majorHAnsi" w:hAnsiTheme="majorHAnsi"/>
        </w:rPr>
      </w:pPr>
      <w:r>
        <w:rPr>
          <w:rFonts w:asciiTheme="majorHAnsi" w:hAnsiTheme="majorHAnsi"/>
        </w:rPr>
        <w:t>B.Sc. (Hons.)Software Development</w:t>
      </w:r>
    </w:p>
    <w:p w14:paraId="7AD4DD97" w14:textId="77777777" w:rsidR="007A5790" w:rsidRPr="00C042E8" w:rsidRDefault="00000000">
      <w:pPr>
        <w:spacing w:after="3" w:line="251" w:lineRule="auto"/>
        <w:ind w:left="2178" w:right="2168" w:hanging="10"/>
        <w:jc w:val="center"/>
        <w:rPr>
          <w:rFonts w:asciiTheme="majorHAnsi" w:hAnsiTheme="majorHAnsi"/>
        </w:rPr>
      </w:pPr>
      <w:r>
        <w:rPr>
          <w:rFonts w:asciiTheme="majorHAnsi" w:hAnsiTheme="majorHAnsi"/>
        </w:rPr>
        <w:t>MCAST Institute of Information and Communication Technology Malta</w:t>
      </w:r>
    </w:p>
    <w:p w14:paraId="5345E077" w14:textId="77777777" w:rsidR="007A5790" w:rsidRPr="00C042E8" w:rsidRDefault="00000000">
      <w:pPr>
        <w:spacing w:after="3" w:line="251" w:lineRule="auto"/>
        <w:ind w:left="2178" w:right="2168" w:hanging="10"/>
        <w:jc w:val="center"/>
        <w:rPr>
          <w:rFonts w:asciiTheme="majorHAnsi" w:hAnsiTheme="majorHAnsi"/>
        </w:rPr>
      </w:pPr>
      <w:r>
        <w:rPr>
          <w:rFonts w:asciiTheme="majorHAnsi" w:hAnsiTheme="majorHAnsi"/>
        </w:rPr>
        <w:t>Kyle.austin.h63676@mcast.edu.mt</w:t>
      </w:r>
    </w:p>
    <w:p w14:paraId="3AC123C0" w14:textId="77777777" w:rsidR="007A5790" w:rsidRDefault="007A5790">
      <w:pPr>
        <w:sectPr w:rsidR="007A5790">
          <w:pgSz w:w="12240" w:h="15840"/>
          <w:pgMar w:top="1098" w:right="1027" w:bottom="1468" w:left="1027" w:header="720" w:footer="720" w:gutter="0"/>
          <w:cols w:space="720"/>
        </w:sectPr>
      </w:pPr>
    </w:p>
    <w:p w14:paraId="47106401" w14:textId="77777777" w:rsidR="00120777" w:rsidRPr="00C042E8" w:rsidRDefault="00000000" w:rsidP="00120777">
      <w:pPr>
        <w:spacing w:after="0" w:line="265" w:lineRule="auto"/>
        <w:ind w:left="-15" w:firstLine="199"/>
        <w:rPr>
          <w:rFonts w:asciiTheme="minorHAnsi" w:hAnsiTheme="minorHAnsi"/>
          <w:b/>
          <w:bCs/>
          <w:iCs/>
          <w:sz w:val="24"/>
        </w:rPr>
      </w:pPr>
      <w:r>
        <w:rPr>
          <w:rFonts w:asciiTheme="minorHAnsi" w:hAnsiTheme="minorHAnsi"/>
          <w:b/>
          <w:bCs/>
          <w:iCs/>
          <w:sz w:val="24"/>
        </w:rPr>
        <w:t xml:space="preserve">Abstract </w:t>
      </w:r>
    </w:p>
    <w:p w14:paraId="6EFD26F3" w14:textId="77777777" w:rsidR="006B42E1" w:rsidRPr="006B42E1" w:rsidRDefault="006B42E1" w:rsidP="006B42E1">
      <w:pPr>
        <w:ind w:left="-15"/>
        <w:rPr>
          <w:rFonts w:asciiTheme="minorHAnsi" w:hAnsiTheme="minorHAnsi"/>
          <w:iCs/>
        </w:rPr>
      </w:pPr>
      <w:r>
        <w:rPr>
          <w:rFonts w:asciiTheme="minorHAnsi" w:hAnsiTheme="minorHAnsi"/>
          <w:iCs/>
        </w:rPr>
        <w:t>Malta is one of the most congested countries in the world, with drivers spending around 94 hours a year stuck in rush-hour traffic on an island that is only 27 km by 14 km. Because Malta’s road network is physically limited and cannot simply be expanded like those in larger cities, smarter traffic management is the most practical way to ease congestion.</w:t>
      </w:r>
    </w:p>
    <w:p w14:paraId="00CC2800" w14:textId="77777777" w:rsidR="006B42E1" w:rsidRPr="006B42E1" w:rsidRDefault="006B42E1" w:rsidP="006B42E1">
      <w:pPr>
        <w:ind w:left="-15"/>
        <w:rPr>
          <w:rFonts w:asciiTheme="minorHAnsi" w:hAnsiTheme="minorHAnsi"/>
          <w:iCs/>
        </w:rPr>
      </w:pPr>
    </w:p>
    <w:p w14:paraId="111CBA9F" w14:textId="332734E2" w:rsidR="009358DD" w:rsidRPr="006B42E1" w:rsidRDefault="006B42E1" w:rsidP="006B42E1">
      <w:pPr>
        <w:ind w:left="-15"/>
        <w:rPr>
          <w:rFonts w:asciiTheme="minorHAnsi" w:hAnsiTheme="minorHAnsi"/>
          <w:iCs/>
        </w:rPr>
      </w:pPr>
      <w:r>
        <w:rPr>
          <w:rFonts w:asciiTheme="minorHAnsi" w:hAnsiTheme="minorHAnsi"/>
          <w:iCs/>
        </w:rPr>
        <w:t>This paper introduces a prototype called the Traffic Optimisation and Route Redistribution System (TORRS), which uses Multi-Agent Advantage Actor-Critic (MA2C), a decentralised deep reinforcement learning approach, to manage traffic lights and vehicle routing across 190 cooperating agents in a SUMO simulation built from OpenStreetMap data. The system was tested against a greedy signal-control baseline over 3,600-second simulation episodes. After 14 training episodes, the MA2C agent reduced average network waiting time by 37.3%, from 9.87 seconds to 6.19 seconds per vehicle, showing a clear learning trend despite the limited training time. Overall, the results show that RL-based traffic management is feasible in a small-island setting, while also highlighting computational scalability as the main challenge for future work.</w:t>
      </w:r>
    </w:p>
    <w:p w14:paraId="50F6EBCB" w14:textId="77777777" w:rsidR="009358DD" w:rsidRPr="00C042E8" w:rsidRDefault="009358DD" w:rsidP="009358DD">
      <w:pPr>
        <w:spacing w:after="0" w:line="265" w:lineRule="auto"/>
        <w:ind w:left="-15" w:firstLine="199"/>
        <w:rPr>
          <w:rFonts w:asciiTheme="minorHAnsi" w:hAnsiTheme="minorHAnsi"/>
          <w:b/>
          <w:bCs/>
          <w:iCs/>
          <w:sz w:val="28"/>
          <w:szCs w:val="28"/>
        </w:rPr>
      </w:pPr>
    </w:p>
    <w:p w14:paraId="295AB65B" w14:textId="16302B39" w:rsidR="009358DD" w:rsidRPr="00C042E8" w:rsidRDefault="009358DD" w:rsidP="009358DD">
      <w:pPr>
        <w:spacing w:after="0" w:line="265" w:lineRule="auto"/>
        <w:ind w:left="-15" w:firstLine="199"/>
        <w:rPr>
          <w:rFonts w:asciiTheme="minorHAnsi" w:hAnsiTheme="minorHAnsi"/>
          <w:b/>
          <w:bCs/>
          <w:iCs/>
          <w:sz w:val="24"/>
        </w:rPr>
      </w:pPr>
      <w:r>
        <w:rPr>
          <w:rFonts w:asciiTheme="minorHAnsi" w:hAnsiTheme="minorHAnsi"/>
          <w:b/>
          <w:bCs/>
          <w:iCs/>
          <w:sz w:val="24"/>
        </w:rPr>
        <w:t>KEYWORDS</w:t>
      </w:r>
    </w:p>
    <w:p w14:paraId="21D50EEB" w14:textId="10EB2E45" w:rsidR="007A5790" w:rsidRPr="00C042E8" w:rsidRDefault="00000000" w:rsidP="009358DD">
      <w:pPr>
        <w:spacing w:after="0" w:line="259" w:lineRule="auto"/>
        <w:ind w:left="0" w:firstLine="0"/>
        <w:jc w:val="left"/>
        <w:rPr>
          <w:rFonts w:asciiTheme="minorHAnsi" w:hAnsiTheme="minorHAnsi"/>
          <w:iCs/>
        </w:rPr>
      </w:pPr>
      <w:r>
        <w:rPr>
          <w:rFonts w:asciiTheme="minorHAnsi" w:hAnsiTheme="minorHAnsi"/>
          <w:iCs/>
          <w:sz w:val="18"/>
        </w:rPr>
        <w:t>Multi-Agent Reinforcement Learning, Traffic</w:t>
      </w:r>
    </w:p>
    <w:p w14:paraId="05AA0C3D" w14:textId="77777777" w:rsidR="007A5790" w:rsidRPr="00C042E8" w:rsidRDefault="00000000" w:rsidP="009358DD">
      <w:pPr>
        <w:spacing w:after="0" w:line="265" w:lineRule="auto"/>
        <w:ind w:left="-5" w:hanging="10"/>
        <w:jc w:val="left"/>
        <w:rPr>
          <w:rFonts w:asciiTheme="minorHAnsi" w:hAnsiTheme="minorHAnsi"/>
          <w:iCs/>
        </w:rPr>
      </w:pPr>
      <w:r>
        <w:rPr>
          <w:rFonts w:asciiTheme="minorHAnsi" w:hAnsiTheme="minorHAnsi"/>
          <w:iCs/>
          <w:sz w:val="18"/>
        </w:rPr>
        <w:t>Signal Control, Vehicle Routing, SUMO Microsimulation, Malta</w:t>
      </w:r>
    </w:p>
    <w:p w14:paraId="67A442D8" w14:textId="77777777" w:rsidR="007A5790" w:rsidRPr="00C042E8" w:rsidRDefault="00000000" w:rsidP="009358DD">
      <w:pPr>
        <w:spacing w:after="305" w:line="265" w:lineRule="auto"/>
        <w:ind w:left="-5" w:hanging="10"/>
        <w:jc w:val="left"/>
        <w:rPr>
          <w:rFonts w:asciiTheme="minorHAnsi" w:hAnsiTheme="minorHAnsi"/>
          <w:iCs/>
        </w:rPr>
      </w:pPr>
      <w:r>
        <w:rPr>
          <w:rFonts w:asciiTheme="minorHAnsi" w:hAnsiTheme="minorHAnsi"/>
          <w:iCs/>
          <w:sz w:val="18"/>
        </w:rPr>
        <w:t>Traffic Congestion</w:t>
      </w:r>
    </w:p>
    <w:p w14:paraId="23A54BA3" w14:textId="77777777"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t>I. INTRODUCTION</w:t>
      </w:r>
    </w:p>
    <w:p w14:paraId="0FD5DE73" w14:textId="77777777" w:rsidR="004C0574" w:rsidRPr="004C0574" w:rsidRDefault="004C0574" w:rsidP="004C0574">
      <w:pPr>
        <w:ind w:left="-15"/>
        <w:rPr>
          <w:rFonts w:asciiTheme="minorHAnsi" w:hAnsiTheme="minorHAnsi"/>
          <w:iCs/>
        </w:rPr>
      </w:pPr>
      <w:r>
        <w:rPr>
          <w:rFonts w:asciiTheme="minorHAnsi" w:hAnsiTheme="minorHAnsi"/>
          <w:iCs/>
        </w:rPr>
        <w:t xml:space="preserve">One of the most persistent challenges in intelligent transport systems (ITS) is urban congestion, which imposes large economic losses, excess fuel consumption and degraded travel-time reliability on millions of daily commuters. In most metropolitan settings, increasing road capacity is a viable, if costly, approach to providing relief. However, for small island states with physically bounded road networks, capacity expansion is not financially, environmentally, or geographically feasible [1], leaving the intelligent redistribution of existing traffic flows as the only scalable intervention available.</w:t>
      </w:r>
    </w:p>
    <w:p w14:paraId="76F0DAC2" w14:textId="257305AF" w:rsidR="008B6427" w:rsidRPr="008B6427" w:rsidRDefault="004C0574" w:rsidP="008B6427">
      <w:pPr>
        <w:ind w:left="-15"/>
        <w:rPr>
          <w:rFonts w:asciiTheme="minorHAnsi" w:hAnsiTheme="minorHAnsi"/>
          <w:iCs/>
        </w:rPr>
      </w:pPr>
      <w:r>
        <w:rPr>
          <w:rFonts w:asciiTheme="minorHAnsi" w:hAnsiTheme="minorHAnsi"/>
          <w:iCs/>
        </w:rPr>
        <w:t xml:space="preserve">Malta is one of the most extreme instances of this problem. According to the TomTom Traffic Index of 2026, the island is the second most congested nation in the world with a population of roughly 574,250 residents, but over 454,000 registered vehicles (about 79 vehicles per 100 people).  One of the highest rates in the European Union [2], [3]. In the capital, Valletta, drivers spend around 94 hours a year caught up in rush-hour traffic, and the national fleet grows by 36 new vehicles each day. Even with free public transport, congestion has continued to increase, suggesting that supply-side and routing-based interventions should be central to any solution [3].</w:t>
      </w:r>
    </w:p>
    <w:p w14:paraId="7004F318" w14:textId="77777777" w:rsidR="004E3970" w:rsidRPr="004E3970" w:rsidRDefault="008B6427" w:rsidP="004E3970">
      <w:pPr>
        <w:ind w:left="-15"/>
        <w:rPr>
          <w:rFonts w:asciiTheme="minorHAnsi" w:hAnsiTheme="minorHAnsi"/>
          <w:iCs/>
        </w:rPr>
      </w:pPr>
      <w:r>
        <w:rPr>
          <w:rFonts w:asciiTheme="minorHAnsi" w:hAnsiTheme="minorHAnsi"/>
          <w:iCs/>
        </w:rPr>
        <w:t>This study proposes a Traffic Optimisation and Route Redistribution System (TORRS) to fill this gap. TORRS seeks to improve the overall network performance rather than the travel time of a single vehicle by incorporating joint signal control and vehicle rerouting in a cooperative multi-agent reinforcement learning framework. The core hypothesis is that a learning based controller can achieve measurable improvements in the average vehicle waiting time and travel time compared to a rule-based greedy baseline and that performance will improve monotonically with training experience.</w:t>
      </w:r>
    </w:p>
    <w:p w14:paraId="08EEC5DA" w14:textId="77777777" w:rsidR="004E3970" w:rsidRPr="004E3970" w:rsidRDefault="004E3970" w:rsidP="004E3970">
      <w:pPr>
        <w:ind w:left="-15"/>
        <w:rPr>
          <w:rFonts w:asciiTheme="minorHAnsi" w:hAnsiTheme="minorHAnsi"/>
          <w:iCs/>
        </w:rPr>
      </w:pPr>
      <w:r>
        <w:rPr>
          <w:rFonts w:asciiTheme="minorHAnsi" w:hAnsiTheme="minorHAnsi"/>
          <w:iCs/>
        </w:rPr>
        <w:t>The research is guided by two research questions:</w:t>
      </w:r>
    </w:p>
    <w:p w14:paraId="4B28DF7C" w14:textId="77777777" w:rsidR="004E3970" w:rsidRPr="004E3970" w:rsidRDefault="004E3970" w:rsidP="004E3970">
      <w:pPr>
        <w:ind w:left="-15"/>
        <w:rPr>
          <w:rFonts w:asciiTheme="minorHAnsi" w:hAnsiTheme="minorHAnsi"/>
          <w:iCs/>
        </w:rPr>
      </w:pPr>
      <w:r>
        <w:rPr>
          <w:rFonts w:asciiTheme="minorHAnsi" w:hAnsiTheme="minorHAnsi"/>
          <w:iCs/>
        </w:rPr>
        <w:t>• RQ1: How does the MA2C learning-based controller compare to a greedy rule-based controller in terms of average vehicle waiting time and average travel time in an SUMO microsimulation of the Maltese road network?</w:t>
      </w:r>
    </w:p>
    <w:p w14:paraId="30CE9F4D" w14:textId="7ED07008" w:rsidR="007A5790" w:rsidRPr="00C042E8" w:rsidRDefault="004E3970" w:rsidP="004E3970">
      <w:pPr>
        <w:ind w:left="-15"/>
        <w:rPr>
          <w:rFonts w:asciiTheme="minorHAnsi" w:hAnsiTheme="minorHAnsi"/>
          <w:iCs/>
        </w:rPr>
      </w:pPr>
      <w:r>
        <w:rPr>
          <w:rFonts w:asciiTheme="minorHAnsi" w:hAnsiTheme="minorHAnsi"/>
          <w:iCs/>
        </w:rPr>
        <w:t xml:space="preserve">- RQ2: Does the MA2C agent show a clear learning trend over the training episodes, suggesting that more training can improve the framework? The remainder of the paper is structured as follows. Section 2 (II) reviews the relevant literature. Section 3 (III) describes the research methodology and simulation pipeline. Section 4 (IV) presents the experimental findings. Section 5 (V) discusses </w:t>
        <w:lastRenderedPageBreak/>
        <w:t>implications, and Section 6 (VI) concludes with limitations and future directions.</w:t>
      </w:r>
    </w:p>
    <w:p w14:paraId="01C22684" w14:textId="77777777"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t>II. LITERATURE REVIEW</w:t>
      </w:r>
    </w:p>
    <w:p w14:paraId="12F1AB83" w14:textId="77777777" w:rsidR="000C6C72" w:rsidRDefault="000C6C72" w:rsidP="000C6C72">
      <w:pPr>
        <w:pStyle w:val="Heading1"/>
        <w:numPr>
          <w:ilvl w:val="0"/>
          <w:numId w:val="3"/>
        </w:numPr>
        <w:rPr>
          <w:rFonts w:asciiTheme="minorHAnsi" w:hAnsiTheme="minorHAnsi"/>
          <w:i w:val="0"/>
          <w:iCs/>
        </w:rPr>
      </w:pPr>
      <w:r>
        <w:rPr>
          <w:rFonts w:asciiTheme="minorHAnsi" w:hAnsiTheme="minorHAnsi"/>
          <w:i w:val="0"/>
          <w:iCs/>
        </w:rPr>
        <w:t>Introduction to ITS and Traffic Optimisation</w:t>
      </w:r>
    </w:p>
    <w:p w14:paraId="0A83ADEC" w14:textId="17257477" w:rsidR="000C6C72" w:rsidRPr="000C6C72" w:rsidRDefault="000C6C72" w:rsidP="000C6C72">
      <w:pPr>
        <w:spacing w:after="154"/>
        <w:ind w:left="0" w:firstLine="0"/>
        <w:rPr>
          <w:rFonts w:asciiTheme="minorHAnsi" w:hAnsiTheme="minorHAnsi"/>
          <w:iCs/>
        </w:rPr>
      </w:pPr>
      <w:r>
        <w:rPr>
          <w:rFonts w:asciiTheme="minorHAnsi" w:hAnsiTheme="minorHAnsi"/>
          <w:iCs/>
        </w:rPr>
        <w:t xml:space="preserve">Intelligent transport systems combine users, vehicles and infrastructure with communications and information technologies to enhance safety, efficiency and environmental performance. A topic-modelling review of 21,995 ITS publications by Zulkarnain and Putri found that detection systems, communication and traffic are the most frequently studied topics, that mathematical, machine-learning, neural-network and optimisation methods dominate the field, and that research is moving toward cooperative ITS (C-ITS) [4]. Large-scale evaluations of learning-based traffic control are typically conducted on metropolitan networks, such as Manhattan with 2,510 signals [5], or Cologne, Luxembourg and Salt Lake City [6]. Small island states, whose transport systems face common problems including rapidly rising car dependence on limited land [1], receive little attention in this literature despite their distinctive constraints of high vehicle density, bounded geography and few parallel corridors.</w:t>
      </w:r>
    </w:p>
    <w:p w14:paraId="2E3E2C7A" w14:textId="77777777" w:rsidR="007A5790" w:rsidRPr="00C042E8" w:rsidRDefault="00000000">
      <w:pPr>
        <w:pStyle w:val="Heading1"/>
        <w:numPr>
          <w:ilvl w:val="0"/>
          <w:numId w:val="3"/>
        </w:numPr>
        <w:rPr>
          <w:rFonts w:asciiTheme="minorHAnsi" w:hAnsiTheme="minorHAnsi"/>
          <w:i w:val="0"/>
          <w:iCs/>
        </w:rPr>
      </w:pPr>
      <w:r>
        <w:rPr>
          <w:rFonts w:asciiTheme="minorHAnsi" w:hAnsiTheme="minorHAnsi"/>
          <w:i w:val="0"/>
          <w:iCs/>
        </w:rPr>
        <w:t xml:space="preserve">Reinforcement Learning for Traffic Signal Control</w:t>
      </w:r>
    </w:p>
    <w:p w14:paraId="3D1C65BF" w14:textId="77777777" w:rsidR="007A5790" w:rsidRPr="00C042E8" w:rsidRDefault="00000000">
      <w:pPr>
        <w:spacing w:after="154"/>
        <w:ind w:left="0" w:firstLine="0"/>
        <w:rPr>
          <w:rFonts w:asciiTheme="minorHAnsi" w:hAnsiTheme="minorHAnsi"/>
          <w:iCs/>
        </w:rPr>
      </w:pPr>
      <w:r>
        <w:rPr>
          <w:rFonts w:asciiTheme="minorHAnsi" w:hAnsiTheme="minorHAnsi"/>
          <w:iCs/>
        </w:rPr>
        <w:t xml:space="preserve">Reinforcement learning (RL) frames control as an agent learning, by trial and error, a policy that maximises long-run reward [7]. Actor–critic methods train a policy (the actor) alongside a value estimate (the critic); Mnih et al. showed that parallel actor-learners stabilise such training in the asynchronous advantage actor-critic (A3C) algorithm [8], of which MA2C is a synchronous multi-agent descendant [9]. Applied to traffic signals, IntelliLight was evaluated on a large-scale real traffic dataset collected from surveillance cameras [10]; PressLight combined RL with max-pressure control [11], a classical scheme that provably maximises network throughput using only local information [12]; CoLight used graph attention [13] so that each intersection can weigh the influence of its neighbours [14]; and MPLight scaled decentralised RL to 2,510 signals in Manhattan [5].</w:t>
      </w:r>
    </w:p>
    <w:p w14:paraId="4672AE07" w14:textId="77777777" w:rsidR="007A5790" w:rsidRPr="00C042E8" w:rsidRDefault="00000000">
      <w:pPr>
        <w:spacing w:after="154"/>
        <w:ind w:left="0" w:firstLine="0"/>
        <w:rPr>
          <w:rFonts w:asciiTheme="minorHAnsi" w:hAnsiTheme="minorHAnsi"/>
          <w:iCs/>
        </w:rPr>
      </w:pPr>
      <w:r>
        <w:rPr>
          <w:rFonts w:asciiTheme="minorHAnsi" w:hAnsiTheme="minorHAnsi"/>
          <w:iCs/>
        </w:rPr>
        <w:t xml:space="preserve">Classical controllers remain the reference point for these methods: fixed-time plans derived from Webster’s delay formula [15] and max-pressure control [12] are common baselines. Surveys catalogue the models, simulation environments and evaluation practices of this fast-growing field, together with its open challenges [16], [17], [18], and open benchmarks such as RESCO, built on SUMO scenarios, aim to make results comparable across studies [6].</w:t>
      </w:r>
    </w:p>
    <w:p w14:paraId="23AE994D" w14:textId="77777777" w:rsidR="006F626A" w:rsidRDefault="000C6C72" w:rsidP="000C6C72">
      <w:pPr>
        <w:pStyle w:val="Heading1"/>
        <w:numPr>
          <w:ilvl w:val="0"/>
          <w:numId w:val="3"/>
        </w:numPr>
        <w:rPr>
          <w:rFonts w:asciiTheme="minorHAnsi" w:hAnsiTheme="minorHAnsi"/>
          <w:i w:val="0"/>
          <w:iCs/>
        </w:rPr>
      </w:pPr>
      <w:r>
        <w:rPr>
          <w:rFonts w:asciiTheme="minorHAnsi" w:hAnsiTheme="minorHAnsi"/>
          <w:i w:val="0"/>
          <w:iCs/>
        </w:rPr>
        <w:t xml:space="preserve">Dynamic Rerouting with Fog-Cloud Reinforcement Learning</w:t>
      </w:r>
    </w:p>
    <w:p w14:paraId="1CA401F0" w14:textId="77777777" w:rsidR="007A5790" w:rsidRPr="00C042E8" w:rsidRDefault="00000000">
      <w:pPr>
        <w:spacing w:after="154"/>
        <w:ind w:left="0" w:firstLine="0"/>
        <w:rPr>
          <w:rFonts w:asciiTheme="minorHAnsi" w:hAnsiTheme="minorHAnsi"/>
          <w:iCs/>
        </w:rPr>
      </w:pPr>
      <w:r>
        <w:rPr>
          <w:rFonts w:asciiTheme="minorHAnsi" w:hAnsiTheme="minorHAnsi"/>
          <w:iCs/>
        </w:rPr>
        <w:t xml:space="preserve">Du et al. propose GAQ-EBkSP, a two-stage dynamic rerouting framework combining a graph attention Q-network with entropy-balanced k-shortest path selection within a fog-cloud architecture [19]. The framework is designed to cope with large-scale data, a large action space, reliance on local information and congestion shifting, with fog nodes handling local road information and the cloud coordinating network-wide decisions. In numerical experiments against two baseline models, the authors report 14–54% improvements in mean travel speed and congestion reduction, with the largest advantage at low rerouting ratios. The fog-cloud partitioning maps naturally on to the geographic traffic zones of Malta (e.g. Valletta gateway, St Julian’s, Msida corridor). This framework is thus directly relevant as a conceptual reference for TORRS.</w:t>
      </w:r>
    </w:p>
    <w:p w14:paraId="60D29460" w14:textId="2A7EDC41" w:rsidR="007A5790" w:rsidRPr="00C042E8" w:rsidRDefault="00000000" w:rsidP="006F626A">
      <w:pPr>
        <w:pStyle w:val="Heading1"/>
        <w:numPr>
          <w:ilvl w:val="0"/>
          <w:numId w:val="3"/>
        </w:numPr>
        <w:rPr>
          <w:rFonts w:asciiTheme="minorHAnsi" w:hAnsiTheme="minorHAnsi"/>
          <w:i w:val="0"/>
          <w:iCs/>
        </w:rPr>
      </w:pPr>
      <w:r>
        <w:rPr>
          <w:rFonts w:asciiTheme="minorHAnsi" w:hAnsiTheme="minorHAnsi"/>
          <w:i w:val="0"/>
          <w:iCs/>
        </w:rPr>
        <w:t>Adaptive Rerouting and Secondary Bottlenecks</w:t>
      </w:r>
    </w:p>
    <w:p w14:paraId="09930031" w14:textId="72DE6CC9" w:rsidR="007A5790" w:rsidRPr="00C042E8" w:rsidRDefault="00000000" w:rsidP="006F626A">
      <w:pPr>
        <w:spacing w:after="154"/>
        <w:ind w:left="0" w:firstLine="0"/>
        <w:rPr>
          <w:rFonts w:asciiTheme="minorHAnsi" w:hAnsiTheme="minorHAnsi"/>
          <w:iCs/>
        </w:rPr>
      </w:pPr>
      <w:r>
        <w:rPr>
          <w:rFonts w:asciiTheme="minorHAnsi" w:hAnsiTheme="minorHAnsi"/>
          <w:iCs/>
        </w:rPr>
        <w:t xml:space="preserve">Wang et al. propose a congestion detection and mitigation method that couples a driving-scenario model, accounting for traffic volume and signal timing, with a re-routing strategy adapted from the k-shortest path algorithm; on a medium-scale road map it identified congestion on road segments and rerouted vehicles in a timely way [20]. Rerouting, however, interacts with collective route choice. Wardrop distinguished the user equilibrium, in which no driver can shorten their own journey by changing route, from the system optimum that minimises total travel time [21]; Braess showed that extending a road network can lengthen individual journeys [22]; and Roughgarden and Tardos bounded the network-wide cost of such selfish routing [23]. In a game-theoretic study of the Los Angeles network, shortest-path routing applications lowered average travel times but increased traffic in neighbourhoods bordering highways [24]. This is directly relevant to Malta, where the limited number of alternative corridors between major zones (notably the approaches to Valletta and the northern residential belt) means that poorly designed rerouting could displace congestion rather than relieve it.</w:t>
      </w:r>
    </w:p>
    <w:p w14:paraId="5D2F7D40" w14:textId="77777777" w:rsidR="007A5790" w:rsidRPr="00C042E8" w:rsidRDefault="00000000">
      <w:pPr>
        <w:pStyle w:val="Heading1"/>
        <w:numPr>
          <w:ilvl w:val="0"/>
          <w:numId w:val="3"/>
        </w:numPr>
        <w:rPr>
          <w:rFonts w:asciiTheme="minorHAnsi" w:hAnsiTheme="minorHAnsi"/>
          <w:i w:val="0"/>
          <w:iCs/>
        </w:rPr>
      </w:pPr>
      <w:r>
        <w:rPr>
          <w:rFonts w:asciiTheme="minorHAnsi" w:hAnsiTheme="minorHAnsi"/>
          <w:i w:val="0"/>
          <w:iCs/>
        </w:rPr>
        <w:t xml:space="preserve">Driver Compliance and Partial Adoption</w:t>
      </w:r>
    </w:p>
    <w:p w14:paraId="382E7AD9" w14:textId="77777777" w:rsidR="007A5790" w:rsidRPr="00C042E8" w:rsidRDefault="00000000">
      <w:pPr>
        <w:spacing w:after="154"/>
        <w:ind w:left="0" w:firstLine="0"/>
        <w:rPr>
          <w:rFonts w:asciiTheme="minorHAnsi" w:hAnsiTheme="minorHAnsi"/>
          <w:iCs/>
        </w:rPr>
      </w:pPr>
      <w:r>
        <w:rPr>
          <w:rFonts w:asciiTheme="minorHAnsi" w:hAnsiTheme="minorHAnsi"/>
          <w:iCs/>
        </w:rPr>
        <w:t xml:space="preserve">The benefit of route guidance depends on how many drivers receive and follow it. Mahmassani and Jayakrishnan used corridor simulations to examine how the share of drivers with in-vehicle information, and their route-switching behaviour, affect system performance [25]. Connected-vehicle studies disagree on the importance of penetration: Liu et al. found that the share of connected vehicles had little effect on network mobility and safety compared with the guidance update interval [26], whereas Calvert et al. report that cooperation between road authorities and navigation providers, combined with high compliance, yields the largest network gains while still allowing individual travel advice [27]. Which compliance level is needed on a bounded network such as Malta’s remains an open question.</w:t>
      </w:r>
    </w:p>
    <w:p w14:paraId="677B1F0E" w14:textId="77777777" w:rsidR="007A5790" w:rsidRPr="00C042E8" w:rsidRDefault="00000000">
      <w:pPr>
        <w:pStyle w:val="Heading1"/>
        <w:ind w:left="-5"/>
        <w:rPr>
          <w:rFonts w:asciiTheme="minorHAnsi" w:hAnsiTheme="minorHAnsi"/>
          <w:i w:val="0"/>
          <w:iCs/>
        </w:rPr>
      </w:pPr>
      <w:r>
        <w:rPr>
          <w:rFonts w:asciiTheme="minorHAnsi" w:hAnsiTheme="minorHAnsi"/>
          <w:i w:val="0"/>
          <w:iCs/>
        </w:rPr>
        <w:t>D. MA2C for Joint Signal and Routing Control</w:t>
      </w:r>
    </w:p>
    <w:p w14:paraId="79635252" w14:textId="77777777" w:rsidR="007A5790" w:rsidRPr="00C042E8" w:rsidRDefault="00000000">
      <w:pPr>
        <w:spacing w:after="154"/>
        <w:ind w:left="-15"/>
        <w:rPr>
          <w:rFonts w:asciiTheme="minorHAnsi" w:hAnsiTheme="minorHAnsi"/>
          <w:iCs/>
        </w:rPr>
      </w:pPr>
      <w:r>
        <w:rPr>
          <w:rFonts w:asciiTheme="minorHAnsi" w:hAnsiTheme="minorHAnsi"/>
          <w:iCs/>
        </w:rPr>
        <w:t xml:space="preserve">Chu et al. introduce MA2C, a decentralised multi-agent advantage actor-critic algorithm with long short-term memory (LSTM) [28] and a neighbourhood fingerprinting mechanism that partially addresses non-stationarity in cooperative multi-agent settings, and evaluate it for adaptive traffic signal control on a large synthetic grid and a real-world network of Monaco [9]. MA2C is decentralised in both training and execution, in contrast to centralised-critic methods such as MADDPG, whose critics see all agents’ actions during training [29]. Closest to TORRS, Peng et al. extend multi-agent advantage actor-critic to the joint optimisation of signal control and vehicle routing, with separate signal and routing agents that share observations and rewards, and report on a modified Sioux network that joint control outperforms controlling signals or routes alone [30]. These works form the algorithmic foundation for TORRS.</w:t>
      </w:r>
    </w:p>
    <w:p w14:paraId="725A05C1" w14:textId="77777777" w:rsidR="007A5790" w:rsidRPr="00C042E8" w:rsidRDefault="00000000">
      <w:pPr>
        <w:pStyle w:val="Heading1"/>
        <w:spacing w:after="61"/>
        <w:ind w:left="-5"/>
        <w:rPr>
          <w:rFonts w:asciiTheme="minorHAnsi" w:hAnsiTheme="minorHAnsi"/>
          <w:i w:val="0"/>
          <w:iCs/>
        </w:rPr>
      </w:pPr>
      <w:r>
        <w:rPr>
          <w:rFonts w:asciiTheme="minorHAnsi" w:hAnsiTheme="minorHAnsi"/>
          <w:i w:val="0"/>
          <w:iCs/>
        </w:rPr>
        <w:t>E. Synthesis and Research Gap</w:t>
      </w:r>
    </w:p>
    <w:p w14:paraId="029BA199" w14:textId="3B7238B8" w:rsidR="007A5790" w:rsidRPr="00C042E8" w:rsidRDefault="00000000">
      <w:pPr>
        <w:spacing w:after="239"/>
        <w:ind w:left="-15"/>
        <w:rPr>
          <w:rFonts w:asciiTheme="minorHAnsi" w:hAnsiTheme="minorHAnsi"/>
          <w:iCs/>
        </w:rPr>
      </w:pPr>
      <w:r>
        <w:rPr>
          <w:rFonts w:asciiTheme="minorHAnsi" w:hAnsiTheme="minorHAnsi"/>
          <w:iCs/>
        </w:rPr>
        <w:t xml:space="preserve">The reviewed literature establishes that (i) learning-based dynamic rerouting can outperform rule-based methods in urban simulations [19], (ii) rerouting must be designed with network-wide awareness, since route-choice theory and evidence from routing applications show that congestion can be displaced rather than removed [21], [24], (iii) joint signal and routing control with multi-agent actor-critic has been demonstrated on a benchmark network [30], and (iv) we are not aware of any study that applies these approaches to a small island road network. TORRS contributes to the literature by targeting this context and demonstrating the feasibility of the MA2C framework on a real-world island road network.</w:t>
      </w:r>
    </w:p>
    <w:p w14:paraId="27930E06" w14:textId="77777777"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t>III. RESEARCH METHODOLOGY</w:t>
      </w:r>
    </w:p>
    <w:p w14:paraId="4F8DD2CC" w14:textId="77777777" w:rsidR="007A5790" w:rsidRPr="00C042E8" w:rsidRDefault="00000000">
      <w:pPr>
        <w:pStyle w:val="Heading1"/>
        <w:ind w:left="-5"/>
        <w:rPr>
          <w:rFonts w:asciiTheme="minorHAnsi" w:hAnsiTheme="minorHAnsi"/>
          <w:i w:val="0"/>
          <w:iCs/>
        </w:rPr>
      </w:pPr>
      <w:r>
        <w:rPr>
          <w:rFonts w:asciiTheme="minorHAnsi" w:hAnsiTheme="minorHAnsi"/>
          <w:i w:val="0"/>
          <w:iCs/>
        </w:rPr>
        <w:t>A. Research Pipeline</w:t>
      </w:r>
    </w:p>
    <w:p w14:paraId="0EDCCC0E" w14:textId="77777777" w:rsidR="007A5790" w:rsidRPr="00C042E8" w:rsidRDefault="00000000">
      <w:pPr>
        <w:ind w:left="-15"/>
        <w:rPr>
          <w:rFonts w:asciiTheme="minorHAnsi" w:hAnsiTheme="minorHAnsi"/>
          <w:iCs/>
        </w:rPr>
      </w:pPr>
      <w:r>
        <w:rPr>
          <w:rFonts w:asciiTheme="minorHAnsi" w:hAnsiTheme="minorHAnsi"/>
          <w:iCs/>
        </w:rPr>
        <w:t>The research follows a structured pipeline consisting of five stages: (1) network construction and validation, (2) demand modelling, (3) baseline establishment, (4) MA2C training, and</w:t>
      </w:r>
    </w:p>
    <w:p w14:paraId="478CF6CC" w14:textId="77777777" w:rsidR="007A5790" w:rsidRPr="00C042E8" w:rsidRDefault="00000000">
      <w:pPr>
        <w:spacing w:after="221"/>
        <w:ind w:left="-15" w:firstLine="0"/>
        <w:rPr>
          <w:rFonts w:asciiTheme="minorHAnsi" w:hAnsiTheme="minorHAnsi"/>
          <w:iCs/>
        </w:rPr>
      </w:pPr>
      <w:r>
        <w:rPr>
          <w:rFonts w:asciiTheme="minorHAnsi" w:hAnsiTheme="minorHAnsi"/>
          <w:iCs/>
        </w:rPr>
        <w:t>(5) comparative evaluation and statistical analysis.</w:t>
      </w:r>
    </w:p>
    <w:p w14:paraId="05E4D56B" w14:textId="77777777" w:rsidR="007A5790" w:rsidRPr="00C042E8" w:rsidRDefault="00000000">
      <w:pPr>
        <w:pStyle w:val="Heading1"/>
        <w:ind w:left="-5"/>
        <w:rPr>
          <w:rFonts w:asciiTheme="minorHAnsi" w:hAnsiTheme="minorHAnsi"/>
          <w:i w:val="0"/>
          <w:iCs/>
        </w:rPr>
      </w:pPr>
      <w:r>
        <w:rPr>
          <w:rFonts w:asciiTheme="minorHAnsi" w:hAnsiTheme="minorHAnsi"/>
          <w:i w:val="0"/>
          <w:iCs/>
        </w:rPr>
        <w:t>B. Simulation Environment</w:t>
      </w:r>
    </w:p>
    <w:p w14:paraId="36DC0D2A" w14:textId="64575A9D" w:rsidR="007A5790" w:rsidRPr="00C042E8" w:rsidRDefault="00000000">
      <w:pPr>
        <w:spacing w:after="218"/>
        <w:ind w:left="-15"/>
        <w:rPr>
          <w:rFonts w:asciiTheme="minorHAnsi" w:hAnsiTheme="minorHAnsi"/>
          <w:iCs/>
        </w:rPr>
      </w:pPr>
      <w:r>
        <w:rPr>
          <w:rFonts w:asciiTheme="minorHAnsi" w:hAnsiTheme="minorHAnsi"/>
          <w:iCs/>
        </w:rPr>
        <w:t xml:space="preserve">The Maltese road network was imported into SUMO using netconvert applied to an OpenStreetMap export [31] and validated against Transport Malta infrastructure data. As volunteered geographic information, OpenStreetMap data should be assessed against authoritative sources [32], which motivated this cross-check. The simulation runs at a 5-second control interval over 3600-second episodes, with 442 lane-area detectors monitoring all traffic light controlled incoming lanes. A TraCI Python interface exposes the environment to the RL agent.</w:t>
      </w:r>
    </w:p>
    <w:p w14:paraId="32F1CCF0" w14:textId="77777777" w:rsidR="007A5790" w:rsidRPr="00C042E8" w:rsidRDefault="00000000">
      <w:pPr>
        <w:pStyle w:val="Heading1"/>
        <w:ind w:left="-5"/>
        <w:rPr>
          <w:rFonts w:asciiTheme="minorHAnsi" w:hAnsiTheme="minorHAnsi"/>
          <w:i w:val="0"/>
          <w:iCs/>
        </w:rPr>
      </w:pPr>
      <w:r>
        <w:rPr>
          <w:rFonts w:asciiTheme="minorHAnsi" w:hAnsiTheme="minorHAnsi"/>
          <w:i w:val="0"/>
          <w:iCs/>
        </w:rPr>
        <w:t>C. Demand Modelling</w:t>
      </w:r>
    </w:p>
    <w:p w14:paraId="014FF460" w14:textId="77777777" w:rsidR="007A5790" w:rsidRPr="00C042E8" w:rsidRDefault="00000000">
      <w:pPr>
        <w:spacing w:after="219"/>
        <w:ind w:left="-15"/>
        <w:rPr>
          <w:rFonts w:asciiTheme="minorHAnsi" w:hAnsiTheme="minorHAnsi"/>
          <w:iCs/>
        </w:rPr>
      </w:pPr>
      <w:r>
        <w:rPr>
          <w:rFonts w:asciiTheme="minorHAnsi" w:hAnsiTheme="minorHAnsi"/>
          <w:iCs/>
        </w:rPr>
        <w:t xml:space="preserve">A base weekday peak-hour demand scenario was calibrated against NSO vehicle registration statistics [3]. Vehicles are generated from an origin–destination matrix derived from available open datasets, with random seed variation used to produce independent episode realisations for training and evaluation. Extension to seasonal tourist-demand scenarios is identified as future work.</w:t>
      </w:r>
    </w:p>
    <w:p w14:paraId="735EAA8A" w14:textId="77777777" w:rsidR="007A5790" w:rsidRPr="00C042E8" w:rsidRDefault="00000000">
      <w:pPr>
        <w:pStyle w:val="Heading1"/>
        <w:ind w:left="-5"/>
        <w:rPr>
          <w:rFonts w:asciiTheme="minorHAnsi" w:hAnsiTheme="minorHAnsi"/>
          <w:i w:val="0"/>
          <w:iCs/>
        </w:rPr>
      </w:pPr>
      <w:r>
        <w:rPr>
          <w:rFonts w:asciiTheme="minorHAnsi" w:hAnsiTheme="minorHAnsi"/>
          <w:i w:val="0"/>
          <w:iCs/>
        </w:rPr>
        <w:lastRenderedPageBreak/>
        <w:t>D. Agent Architecture</w:t>
      </w:r>
    </w:p>
    <w:p w14:paraId="11C15BA9" w14:textId="77777777" w:rsidR="007A5790" w:rsidRPr="00C042E8" w:rsidRDefault="00000000">
      <w:pPr>
        <w:ind w:left="-15"/>
        <w:rPr>
          <w:rFonts w:asciiTheme="minorHAnsi" w:hAnsiTheme="minorHAnsi"/>
          <w:iCs/>
        </w:rPr>
      </w:pPr>
      <w:r>
        <w:rPr>
          <w:rFonts w:asciiTheme="minorHAnsi" w:hAnsiTheme="minorHAnsi"/>
          <w:iCs/>
        </w:rPr>
        <w:t>MA2C assigns one agent to each of 186 signalised junctions and one agent to each of 4 routing corridors, giving 190 cooperative agents in total. Each agent maintains an LSTM-based actor-critic network with a local observation vector derived from queue lengths, vehicle waiting times, and neighbour fingerprints. Signal agents are penalised for vehicle queue lengths and waiting times; routing agents are rewarded for vehicles completing trips on their assigned corridor.</w:t>
      </w:r>
    </w:p>
    <w:p w14:paraId="41E61439" w14:textId="77777777" w:rsidR="007A5790" w:rsidRPr="00C042E8" w:rsidRDefault="00000000">
      <w:pPr>
        <w:spacing w:after="262"/>
        <w:ind w:left="199" w:firstLine="0"/>
        <w:rPr>
          <w:rFonts w:asciiTheme="minorHAnsi" w:hAnsiTheme="minorHAnsi"/>
          <w:iCs/>
        </w:rPr>
      </w:pPr>
      <w:r>
        <w:rPr>
          <w:rFonts w:asciiTheme="minorHAnsi" w:hAnsiTheme="minorHAnsi"/>
          <w:iCs/>
        </w:rPr>
        <w:t>Key hyperparameters are listed in Table I.</w:t>
      </w:r>
    </w:p>
    <w:p w14:paraId="32A2A088" w14:textId="77777777" w:rsidR="007A5790" w:rsidRPr="00C042E8" w:rsidRDefault="00000000">
      <w:pPr>
        <w:spacing w:after="2" w:line="259" w:lineRule="auto"/>
        <w:ind w:left="10" w:hanging="10"/>
        <w:jc w:val="center"/>
        <w:rPr>
          <w:rFonts w:asciiTheme="minorHAnsi" w:hAnsiTheme="minorHAnsi"/>
          <w:iCs/>
        </w:rPr>
      </w:pPr>
      <w:r>
        <w:rPr>
          <w:rFonts w:asciiTheme="minorHAnsi" w:hAnsiTheme="minorHAnsi"/>
          <w:iCs/>
          <w:sz w:val="16"/>
        </w:rPr>
        <w:t>TABLE I</w:t>
      </w:r>
    </w:p>
    <w:p w14:paraId="23F5425F" w14:textId="77777777" w:rsidR="007A5790" w:rsidRPr="00C042E8" w:rsidRDefault="00000000">
      <w:pPr>
        <w:spacing w:after="0" w:line="259" w:lineRule="auto"/>
        <w:ind w:left="10" w:hanging="10"/>
        <w:jc w:val="center"/>
        <w:rPr>
          <w:rFonts w:asciiTheme="minorHAnsi" w:hAnsiTheme="minorHAnsi"/>
          <w:iCs/>
        </w:rPr>
      </w:pPr>
      <w:r>
        <w:rPr>
          <w:rFonts w:asciiTheme="minorHAnsi" w:hAnsiTheme="minorHAnsi"/>
          <w:iCs/>
          <w:sz w:val="16"/>
        </w:rPr>
        <w:t>MA2C H</w:t>
      </w:r>
      <w:r>
        <w:rPr>
          <w:rFonts w:asciiTheme="minorHAnsi" w:hAnsiTheme="minorHAnsi"/>
          <w:iCs/>
          <w:sz w:val="13"/>
        </w:rPr>
        <w:t>YPERPARAMETERS</w:t>
      </w:r>
    </w:p>
    <w:tbl>
      <w:tblPr>
        <w:tblStyle w:val="TableGrid"/>
        <w:tblW w:w="4247" w:type="dxa"/>
        <w:tblInd w:w="387" w:type="dxa"/>
        <w:tblCellMar>
          <w:top w:w="35" w:type="dxa"/>
          <w:right w:w="115" w:type="dxa"/>
        </w:tblCellMar>
        <w:tblLook w:val="04A0" w:firstRow="1" w:lastRow="0" w:firstColumn="1" w:lastColumn="0" w:noHBand="0" w:noVBand="1"/>
      </w:tblPr>
      <w:tblGrid>
        <w:gridCol w:w="2731"/>
        <w:gridCol w:w="1516"/>
      </w:tblGrid>
      <w:tr w:rsidR="007A5790" w:rsidRPr="00C042E8" w14:paraId="1B363884" w14:textId="77777777">
        <w:trPr>
          <w:trHeight w:val="322"/>
        </w:trPr>
        <w:tc>
          <w:tcPr>
            <w:tcW w:w="2731" w:type="dxa"/>
            <w:tcBorders>
              <w:top w:val="single" w:sz="6" w:space="0" w:color="000000"/>
              <w:left w:val="nil"/>
              <w:bottom w:val="single" w:sz="4" w:space="0" w:color="000000"/>
              <w:right w:val="nil"/>
            </w:tcBorders>
          </w:tcPr>
          <w:p w14:paraId="12FFFC7F"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Parameter</w:t>
            </w:r>
          </w:p>
        </w:tc>
        <w:tc>
          <w:tcPr>
            <w:tcW w:w="1516" w:type="dxa"/>
            <w:tcBorders>
              <w:top w:val="single" w:sz="6" w:space="0" w:color="000000"/>
              <w:left w:val="nil"/>
              <w:bottom w:val="single" w:sz="4" w:space="0" w:color="000000"/>
              <w:right w:val="nil"/>
            </w:tcBorders>
          </w:tcPr>
          <w:p w14:paraId="018660A5" w14:textId="77777777" w:rsidR="007A5790" w:rsidRPr="00C042E8" w:rsidRDefault="00000000">
            <w:pPr>
              <w:spacing w:after="0" w:line="259" w:lineRule="auto"/>
              <w:ind w:left="0" w:right="4" w:firstLine="0"/>
              <w:jc w:val="center"/>
              <w:rPr>
                <w:rFonts w:asciiTheme="minorHAnsi" w:hAnsiTheme="minorHAnsi"/>
                <w:iCs/>
              </w:rPr>
            </w:pPr>
            <w:r>
              <w:rPr>
                <w:rFonts w:asciiTheme="minorHAnsi" w:hAnsiTheme="minorHAnsi"/>
                <w:iCs/>
                <w:sz w:val="16"/>
              </w:rPr>
              <w:t>Value</w:t>
            </w:r>
          </w:p>
        </w:tc>
      </w:tr>
      <w:tr w:rsidR="007A5790" w:rsidRPr="00C042E8" w14:paraId="07772A45" w14:textId="77777777">
        <w:trPr>
          <w:trHeight w:val="283"/>
        </w:trPr>
        <w:tc>
          <w:tcPr>
            <w:tcW w:w="2731" w:type="dxa"/>
            <w:tcBorders>
              <w:top w:val="single" w:sz="4" w:space="0" w:color="000000"/>
              <w:left w:val="nil"/>
              <w:bottom w:val="nil"/>
              <w:right w:val="nil"/>
            </w:tcBorders>
          </w:tcPr>
          <w:p w14:paraId="0A22D7A1"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Learning rate</w:t>
            </w:r>
          </w:p>
        </w:tc>
        <w:tc>
          <w:tcPr>
            <w:tcW w:w="1516" w:type="dxa"/>
            <w:tcBorders>
              <w:top w:val="single" w:sz="4" w:space="0" w:color="000000"/>
              <w:left w:val="nil"/>
              <w:bottom w:val="nil"/>
              <w:right w:val="nil"/>
            </w:tcBorders>
          </w:tcPr>
          <w:p w14:paraId="75B6F8E4" w14:textId="77777777" w:rsidR="007A5790" w:rsidRPr="00C042E8" w:rsidRDefault="00000000">
            <w:pPr>
              <w:spacing w:after="0" w:line="259" w:lineRule="auto"/>
              <w:ind w:left="303" w:firstLine="0"/>
              <w:jc w:val="left"/>
              <w:rPr>
                <w:rFonts w:asciiTheme="minorHAnsi" w:hAnsiTheme="minorHAnsi"/>
                <w:iCs/>
              </w:rPr>
            </w:pPr>
            <w:r>
              <w:rPr>
                <w:rFonts w:asciiTheme="minorHAnsi" w:eastAsia="Cambria" w:hAnsiTheme="minorHAnsi" w:cs="Cambria"/>
                <w:iCs/>
                <w:sz w:val="16"/>
              </w:rPr>
              <w:t>2.5×10</w:t>
            </w:r>
            <w:r>
              <w:rPr>
                <w:rFonts w:asciiTheme="minorHAnsi" w:eastAsia="Cambria" w:hAnsiTheme="minorHAnsi" w:cs="Cambria"/>
                <w:iCs/>
                <w:sz w:val="16"/>
                <w:vertAlign w:val="superscript"/>
              </w:rPr>
              <w:t>−4</w:t>
            </w:r>
          </w:p>
        </w:tc>
      </w:tr>
      <w:tr w:rsidR="007A5790" w:rsidRPr="00C042E8" w14:paraId="6ADBDE94" w14:textId="77777777">
        <w:trPr>
          <w:trHeight w:val="215"/>
        </w:trPr>
        <w:tc>
          <w:tcPr>
            <w:tcW w:w="2731" w:type="dxa"/>
            <w:tcBorders>
              <w:top w:val="nil"/>
              <w:left w:val="nil"/>
              <w:bottom w:val="nil"/>
              <w:right w:val="nil"/>
            </w:tcBorders>
          </w:tcPr>
          <w:p w14:paraId="019D5670"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 xml:space="preserve">Discount factor </w:t>
            </w:r>
            <w:r>
              <w:rPr>
                <w:rFonts w:asciiTheme="minorHAnsi" w:eastAsia="Cambria" w:hAnsiTheme="minorHAnsi" w:cs="Cambria"/>
                <w:iCs/>
                <w:sz w:val="16"/>
              </w:rPr>
              <w:t>γ</w:t>
            </w:r>
          </w:p>
        </w:tc>
        <w:tc>
          <w:tcPr>
            <w:tcW w:w="1516" w:type="dxa"/>
            <w:tcBorders>
              <w:top w:val="nil"/>
              <w:left w:val="nil"/>
              <w:bottom w:val="nil"/>
              <w:right w:val="nil"/>
            </w:tcBorders>
          </w:tcPr>
          <w:p w14:paraId="0C09B11A" w14:textId="77777777" w:rsidR="007A5790" w:rsidRPr="00C042E8" w:rsidRDefault="00000000">
            <w:pPr>
              <w:spacing w:after="0" w:line="259" w:lineRule="auto"/>
              <w:ind w:left="0" w:right="4" w:firstLine="0"/>
              <w:jc w:val="center"/>
              <w:rPr>
                <w:rFonts w:asciiTheme="minorHAnsi" w:hAnsiTheme="minorHAnsi"/>
                <w:iCs/>
              </w:rPr>
            </w:pPr>
            <w:r>
              <w:rPr>
                <w:rFonts w:asciiTheme="minorHAnsi" w:eastAsia="Cambria" w:hAnsiTheme="minorHAnsi" w:cs="Cambria"/>
                <w:iCs/>
                <w:sz w:val="16"/>
              </w:rPr>
              <w:t>0.99</w:t>
            </w:r>
          </w:p>
        </w:tc>
      </w:tr>
      <w:tr w:rsidR="007A5790" w:rsidRPr="00C042E8" w14:paraId="25A0537E" w14:textId="77777777">
        <w:trPr>
          <w:trHeight w:val="215"/>
        </w:trPr>
        <w:tc>
          <w:tcPr>
            <w:tcW w:w="2731" w:type="dxa"/>
            <w:tcBorders>
              <w:top w:val="nil"/>
              <w:left w:val="nil"/>
              <w:bottom w:val="nil"/>
              <w:right w:val="nil"/>
            </w:tcBorders>
          </w:tcPr>
          <w:p w14:paraId="0FF6B896" w14:textId="77777777" w:rsidR="007A5790" w:rsidRPr="00C042E8" w:rsidRDefault="00000000">
            <w:pPr>
              <w:spacing w:after="0" w:line="259" w:lineRule="auto"/>
              <w:ind w:left="120" w:firstLine="0"/>
              <w:jc w:val="left"/>
              <w:rPr>
                <w:rFonts w:asciiTheme="minorHAnsi" w:hAnsiTheme="minorHAnsi"/>
                <w:iCs/>
              </w:rPr>
            </w:pPr>
            <w:r>
              <w:rPr>
                <w:rFonts w:asciiTheme="minorHAnsi" w:eastAsia="Cambria" w:hAnsiTheme="minorHAnsi" w:cs="Cambria"/>
                <w:iCs/>
                <w:sz w:val="16"/>
              </w:rPr>
              <w:t>n</w:t>
            </w:r>
            <w:r>
              <w:rPr>
                <w:rFonts w:asciiTheme="minorHAnsi" w:hAnsiTheme="minorHAnsi"/>
                <w:iCs/>
                <w:sz w:val="16"/>
              </w:rPr>
              <w:t>-step return</w:t>
            </w:r>
          </w:p>
        </w:tc>
        <w:tc>
          <w:tcPr>
            <w:tcW w:w="1516" w:type="dxa"/>
            <w:tcBorders>
              <w:top w:val="nil"/>
              <w:left w:val="nil"/>
              <w:bottom w:val="nil"/>
              <w:right w:val="nil"/>
            </w:tcBorders>
          </w:tcPr>
          <w:p w14:paraId="07140213" w14:textId="77777777" w:rsidR="007A5790" w:rsidRPr="00C042E8" w:rsidRDefault="00000000">
            <w:pPr>
              <w:spacing w:after="0" w:line="259" w:lineRule="auto"/>
              <w:ind w:left="0" w:right="4" w:firstLine="0"/>
              <w:jc w:val="center"/>
              <w:rPr>
                <w:rFonts w:asciiTheme="minorHAnsi" w:hAnsiTheme="minorHAnsi"/>
                <w:iCs/>
              </w:rPr>
            </w:pPr>
            <w:r>
              <w:rPr>
                <w:rFonts w:asciiTheme="minorHAnsi" w:eastAsia="Cambria" w:hAnsiTheme="minorHAnsi" w:cs="Cambria"/>
                <w:iCs/>
                <w:sz w:val="16"/>
              </w:rPr>
              <w:t>144</w:t>
            </w:r>
          </w:p>
        </w:tc>
      </w:tr>
      <w:tr w:rsidR="007A5790" w:rsidRPr="00C042E8" w14:paraId="186836FB" w14:textId="77777777">
        <w:trPr>
          <w:trHeight w:val="215"/>
        </w:trPr>
        <w:tc>
          <w:tcPr>
            <w:tcW w:w="2731" w:type="dxa"/>
            <w:tcBorders>
              <w:top w:val="nil"/>
              <w:left w:val="nil"/>
              <w:bottom w:val="nil"/>
              <w:right w:val="nil"/>
            </w:tcBorders>
          </w:tcPr>
          <w:p w14:paraId="12AFD248"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Cooperative discount (signal–signal)</w:t>
            </w:r>
          </w:p>
        </w:tc>
        <w:tc>
          <w:tcPr>
            <w:tcW w:w="1516" w:type="dxa"/>
            <w:tcBorders>
              <w:top w:val="nil"/>
              <w:left w:val="nil"/>
              <w:bottom w:val="nil"/>
              <w:right w:val="nil"/>
            </w:tcBorders>
          </w:tcPr>
          <w:p w14:paraId="7E22CEE6" w14:textId="77777777" w:rsidR="007A5790" w:rsidRPr="00C042E8" w:rsidRDefault="00000000">
            <w:pPr>
              <w:spacing w:after="0" w:line="259" w:lineRule="auto"/>
              <w:ind w:left="0" w:right="4" w:firstLine="0"/>
              <w:jc w:val="center"/>
              <w:rPr>
                <w:rFonts w:asciiTheme="minorHAnsi" w:hAnsiTheme="minorHAnsi"/>
                <w:iCs/>
              </w:rPr>
            </w:pPr>
            <w:r>
              <w:rPr>
                <w:rFonts w:asciiTheme="minorHAnsi" w:eastAsia="Cambria" w:hAnsiTheme="minorHAnsi" w:cs="Cambria"/>
                <w:iCs/>
                <w:sz w:val="16"/>
              </w:rPr>
              <w:t>0.3</w:t>
            </w:r>
          </w:p>
        </w:tc>
      </w:tr>
      <w:tr w:rsidR="007A5790" w:rsidRPr="00C042E8" w14:paraId="7F837CC9" w14:textId="77777777">
        <w:trPr>
          <w:trHeight w:val="215"/>
        </w:trPr>
        <w:tc>
          <w:tcPr>
            <w:tcW w:w="2731" w:type="dxa"/>
            <w:tcBorders>
              <w:top w:val="nil"/>
              <w:left w:val="nil"/>
              <w:bottom w:val="nil"/>
              <w:right w:val="nil"/>
            </w:tcBorders>
          </w:tcPr>
          <w:p w14:paraId="71120489"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Episode length</w:t>
            </w:r>
          </w:p>
        </w:tc>
        <w:tc>
          <w:tcPr>
            <w:tcW w:w="1516" w:type="dxa"/>
            <w:tcBorders>
              <w:top w:val="nil"/>
              <w:left w:val="nil"/>
              <w:bottom w:val="nil"/>
              <w:right w:val="nil"/>
            </w:tcBorders>
          </w:tcPr>
          <w:p w14:paraId="5B44F54D" w14:textId="77777777" w:rsidR="007A5790" w:rsidRPr="00C042E8" w:rsidRDefault="00000000">
            <w:pPr>
              <w:spacing w:after="0" w:line="259" w:lineRule="auto"/>
              <w:ind w:left="0" w:right="4" w:firstLine="0"/>
              <w:jc w:val="center"/>
              <w:rPr>
                <w:rFonts w:asciiTheme="minorHAnsi" w:hAnsiTheme="minorHAnsi"/>
                <w:iCs/>
              </w:rPr>
            </w:pPr>
            <w:r>
              <w:rPr>
                <w:rFonts w:asciiTheme="minorHAnsi" w:eastAsia="Cambria" w:hAnsiTheme="minorHAnsi" w:cs="Cambria"/>
                <w:iCs/>
                <w:sz w:val="16"/>
              </w:rPr>
              <w:t>3600</w:t>
            </w:r>
            <w:r>
              <w:rPr>
                <w:rFonts w:asciiTheme="minorHAnsi" w:hAnsiTheme="minorHAnsi"/>
                <w:iCs/>
                <w:sz w:val="16"/>
              </w:rPr>
              <w:t>s</w:t>
            </w:r>
          </w:p>
        </w:tc>
      </w:tr>
      <w:tr w:rsidR="007A5790" w:rsidRPr="00C042E8" w14:paraId="715AB45D" w14:textId="77777777">
        <w:trPr>
          <w:trHeight w:val="215"/>
        </w:trPr>
        <w:tc>
          <w:tcPr>
            <w:tcW w:w="2731" w:type="dxa"/>
            <w:tcBorders>
              <w:top w:val="nil"/>
              <w:left w:val="nil"/>
              <w:bottom w:val="nil"/>
              <w:right w:val="nil"/>
            </w:tcBorders>
          </w:tcPr>
          <w:p w14:paraId="725727D9"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Control interval</w:t>
            </w:r>
          </w:p>
        </w:tc>
        <w:tc>
          <w:tcPr>
            <w:tcW w:w="1516" w:type="dxa"/>
            <w:tcBorders>
              <w:top w:val="nil"/>
              <w:left w:val="nil"/>
              <w:bottom w:val="nil"/>
              <w:right w:val="nil"/>
            </w:tcBorders>
          </w:tcPr>
          <w:p w14:paraId="14A0A15A" w14:textId="77777777" w:rsidR="007A5790" w:rsidRPr="00C042E8" w:rsidRDefault="00000000">
            <w:pPr>
              <w:spacing w:after="0" w:line="259" w:lineRule="auto"/>
              <w:ind w:left="0" w:right="4" w:firstLine="0"/>
              <w:jc w:val="center"/>
              <w:rPr>
                <w:rFonts w:asciiTheme="minorHAnsi" w:hAnsiTheme="minorHAnsi"/>
                <w:iCs/>
              </w:rPr>
            </w:pPr>
            <w:r>
              <w:rPr>
                <w:rFonts w:asciiTheme="minorHAnsi" w:eastAsia="Cambria" w:hAnsiTheme="minorHAnsi" w:cs="Cambria"/>
                <w:iCs/>
                <w:sz w:val="16"/>
              </w:rPr>
              <w:t>5</w:t>
            </w:r>
            <w:r>
              <w:rPr>
                <w:rFonts w:asciiTheme="minorHAnsi" w:hAnsiTheme="minorHAnsi"/>
                <w:iCs/>
                <w:sz w:val="16"/>
              </w:rPr>
              <w:t>s</w:t>
            </w:r>
          </w:p>
        </w:tc>
      </w:tr>
      <w:tr w:rsidR="007A5790" w:rsidRPr="00C042E8" w14:paraId="6C24D0AA" w14:textId="77777777">
        <w:trPr>
          <w:trHeight w:val="254"/>
        </w:trPr>
        <w:tc>
          <w:tcPr>
            <w:tcW w:w="2731" w:type="dxa"/>
            <w:tcBorders>
              <w:top w:val="nil"/>
              <w:left w:val="nil"/>
              <w:bottom w:val="single" w:sz="6" w:space="0" w:color="000000"/>
              <w:right w:val="nil"/>
            </w:tcBorders>
          </w:tcPr>
          <w:p w14:paraId="3FC6363E"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Training steps</w:t>
            </w:r>
          </w:p>
        </w:tc>
        <w:tc>
          <w:tcPr>
            <w:tcW w:w="1516" w:type="dxa"/>
            <w:tcBorders>
              <w:top w:val="nil"/>
              <w:left w:val="nil"/>
              <w:bottom w:val="single" w:sz="6" w:space="0" w:color="000000"/>
              <w:right w:val="nil"/>
            </w:tcBorders>
          </w:tcPr>
          <w:p w14:paraId="321BB613" w14:textId="77777777" w:rsidR="007A5790" w:rsidRPr="00C042E8" w:rsidRDefault="00000000">
            <w:pPr>
              <w:spacing w:after="0" w:line="259" w:lineRule="auto"/>
              <w:ind w:left="0" w:firstLine="0"/>
              <w:jc w:val="left"/>
              <w:rPr>
                <w:rFonts w:asciiTheme="minorHAnsi" w:hAnsiTheme="minorHAnsi"/>
                <w:iCs/>
              </w:rPr>
            </w:pPr>
            <w:r>
              <w:rPr>
                <w:rFonts w:asciiTheme="minorHAnsi" w:eastAsia="Cambria" w:hAnsiTheme="minorHAnsi" w:cs="Cambria"/>
                <w:iCs/>
                <w:sz w:val="16"/>
              </w:rPr>
              <w:t xml:space="preserve">10,080 </w:t>
            </w:r>
            <w:r>
              <w:rPr>
                <w:rFonts w:asciiTheme="minorHAnsi" w:hAnsiTheme="minorHAnsi"/>
                <w:iCs/>
                <w:sz w:val="16"/>
              </w:rPr>
              <w:t>(14 episodes)</w:t>
            </w:r>
          </w:p>
        </w:tc>
      </w:tr>
    </w:tbl>
    <w:p w14:paraId="5B65FAD3" w14:textId="77777777" w:rsidR="007A5790" w:rsidRPr="00C042E8" w:rsidRDefault="00000000">
      <w:pPr>
        <w:pStyle w:val="Heading1"/>
        <w:ind w:left="-5"/>
        <w:rPr>
          <w:rFonts w:asciiTheme="minorHAnsi" w:hAnsiTheme="minorHAnsi"/>
          <w:i w:val="0"/>
          <w:iCs/>
        </w:rPr>
      </w:pPr>
      <w:r>
        <w:rPr>
          <w:rFonts w:asciiTheme="minorHAnsi" w:hAnsiTheme="minorHAnsi"/>
          <w:i w:val="0"/>
          <w:iCs/>
        </w:rPr>
        <w:t>E. Baseline Controller</w:t>
      </w:r>
    </w:p>
    <w:p w14:paraId="72544E3C" w14:textId="77777777" w:rsidR="007A5790" w:rsidRPr="00C042E8" w:rsidRDefault="00000000">
      <w:pPr>
        <w:spacing w:after="147"/>
        <w:ind w:left="-15"/>
        <w:rPr>
          <w:rFonts w:asciiTheme="minorHAnsi" w:hAnsiTheme="minorHAnsi"/>
          <w:iCs/>
        </w:rPr>
      </w:pPr>
      <w:r>
        <w:rPr>
          <w:rFonts w:asciiTheme="minorHAnsi" w:hAnsiTheme="minorHAnsi"/>
          <w:iCs/>
        </w:rPr>
        <w:t xml:space="preserve">The greedy baseline (MaltaController) assigns each junction the signal phase that maximises the combined vehicle count on the highest-flow pair of incoming lanes at the current timestep. Route agents are fixed at action 0 (no rerouting), replicating static route assignment. The baseline was evaluated over the same ten 3600-second episodes (random seeds 10,000–100,000) used for the MA2C evaluation.</w:t>
      </w:r>
    </w:p>
    <w:p w14:paraId="274A4EFB" w14:textId="77777777" w:rsidR="007A5790" w:rsidRPr="00C042E8" w:rsidRDefault="00000000">
      <w:pPr>
        <w:pStyle w:val="Heading1"/>
        <w:spacing w:after="58"/>
        <w:ind w:left="-5"/>
        <w:rPr>
          <w:rFonts w:asciiTheme="minorHAnsi" w:hAnsiTheme="minorHAnsi"/>
          <w:i w:val="0"/>
          <w:iCs/>
        </w:rPr>
      </w:pPr>
      <w:r>
        <w:rPr>
          <w:rFonts w:asciiTheme="minorHAnsi" w:hAnsiTheme="minorHAnsi"/>
          <w:i w:val="0"/>
          <w:iCs/>
        </w:rPr>
        <w:t>F. Evaluation Protocol</w:t>
      </w:r>
    </w:p>
    <w:p w14:paraId="68C4BE56" w14:textId="7C1C7BF1" w:rsidR="007A5790" w:rsidRPr="00C042E8" w:rsidRDefault="00000000">
      <w:pPr>
        <w:spacing w:after="162"/>
        <w:ind w:left="-15"/>
        <w:rPr>
          <w:rFonts w:asciiTheme="minorHAnsi" w:hAnsiTheme="minorHAnsi"/>
          <w:iCs/>
        </w:rPr>
      </w:pPr>
      <w:r>
        <w:rPr>
          <w:rFonts w:asciiTheme="minorHAnsi" w:hAnsiTheme="minorHAnsi"/>
          <w:iCs/>
        </w:rPr>
        <w:t xml:space="preserve">After training, the MA2C model was evaluated by sampling actions from its learned stochastic policy over ten random seeds (10,000–100,000) using SUMO’s trip info output to record per-vehicle travel and waiting times, yielding 9,817 complete vehicle trips for analysis. Because deep RL results vary considerably between random seeds, results are reported with their dispersion across seeds rather than as single runs [33], [34]. Primary metrics are average waiting time and average travel time per completed trip.</w:t>
      </w:r>
    </w:p>
    <w:p w14:paraId="4A5E625F" w14:textId="77777777" w:rsidR="007A5790" w:rsidRPr="00C042E8" w:rsidRDefault="00000000">
      <w:pPr>
        <w:pStyle w:val="Heading1"/>
        <w:spacing w:after="58"/>
        <w:ind w:left="-5"/>
        <w:rPr>
          <w:rFonts w:asciiTheme="minorHAnsi" w:hAnsiTheme="minorHAnsi"/>
          <w:i w:val="0"/>
          <w:iCs/>
        </w:rPr>
      </w:pPr>
      <w:r>
        <w:rPr>
          <w:rFonts w:asciiTheme="minorHAnsi" w:hAnsiTheme="minorHAnsi"/>
          <w:i w:val="0"/>
          <w:iCs/>
        </w:rPr>
        <w:t>G. Data Sources and Licensing</w:t>
      </w:r>
    </w:p>
    <w:p w14:paraId="F3850476" w14:textId="77777777" w:rsidR="007A5790" w:rsidRPr="00C042E8" w:rsidRDefault="00000000">
      <w:pPr>
        <w:spacing w:after="143"/>
        <w:ind w:left="-15"/>
        <w:rPr>
          <w:rFonts w:asciiTheme="minorHAnsi" w:hAnsiTheme="minorHAnsi"/>
          <w:iCs/>
        </w:rPr>
      </w:pPr>
      <w:r>
        <w:rPr>
          <w:rFonts w:asciiTheme="minorHAnsi" w:hAnsiTheme="minorHAnsi"/>
          <w:iCs/>
        </w:rPr>
        <w:t xml:space="preserve">The road network (malta.net.xml) was derived from an OpenStreetMap (OSM) export via SUMO’s netconvert tool [31], and travel-demand calibration drew on National Statistics Office (NSO) Malta vehicle registration and traffic statistics [3]. OSM data is distributed under the Open Database License (ODbL) v1.0 [35], which permits copying, adapting and building upon the data provided that OpenStreetMap and its contributors are credited; because the imported network file is a derived database rather than a rendered image or a purely statistical output, any public release of it in this thesis or an associated repository is likewise made available under ODbL terms, with the attribution “© OpenStreetMap contributors.” NSO’s re-use policy permits both non-commercial and commercial use of its published data provided NSO is cited as the source together with the release date and publication name, and any modification of the data is disclosed to the end user; this format is used for reference [3] and is followed wherever NSO figures are quoted in this thesis.</w:t>
      </w:r>
    </w:p>
    <w:p w14:paraId="F58A905E" w14:textId="77777777" w:rsidR="007A5790" w:rsidRPr="00C042E8" w:rsidRDefault="00000000">
      <w:pPr>
        <w:spacing w:after="143"/>
        <w:ind w:left="-15"/>
        <w:rPr>
          <w:rFonts w:asciiTheme="minorHAnsi" w:hAnsiTheme="minorHAnsi"/>
          <w:iCs/>
        </w:rPr>
      </w:pPr>
      <w:r>
        <w:rPr>
          <w:rFonts w:asciiTheme="minorHAnsi" w:hAnsiTheme="minorHAnsi"/>
          <w:iCs/>
        </w:rPr>
        <w:t xml:space="preserve">Transport Malta infrastructure data was consulted only to visually cross-check the imported network’s junction layout and road geometry against known infrastructure; no Transport Malta dataset file is redistributed as part of this work, and its inclusion here is limited to describing this validation step. Malta GeoHub, the national geoportal referenced during initial data scoping, was not ultimately used as a data source for this study: its Terms of Use reserve all intellectual property rights in its datasets to the Government of Malta and restrict most layers to view-only access, explicitly prohibiting download, copying or redistribution in any form – a further reason this project relies on OSM and NSO data rather than GeoHub layers.</w:t>
      </w:r>
    </w:p>
    <w:p w14:paraId="5EC6CA33" w14:textId="77777777"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t>IV. FINDINGS</w:t>
      </w:r>
    </w:p>
    <w:p w14:paraId="0B47E205" w14:textId="77777777" w:rsidR="007A5790" w:rsidRPr="00C042E8" w:rsidRDefault="00000000">
      <w:pPr>
        <w:pStyle w:val="Heading1"/>
        <w:spacing w:after="58"/>
        <w:ind w:left="-5"/>
        <w:rPr>
          <w:rFonts w:asciiTheme="minorHAnsi" w:hAnsiTheme="minorHAnsi"/>
          <w:i w:val="0"/>
          <w:iCs/>
        </w:rPr>
      </w:pPr>
      <w:r>
        <w:rPr>
          <w:rFonts w:asciiTheme="minorHAnsi" w:hAnsiTheme="minorHAnsi"/>
          <w:i w:val="0"/>
          <w:iCs/>
        </w:rPr>
        <w:t>A. RQ2: Learning Trend</w:t>
      </w:r>
    </w:p>
    <w:p w14:paraId="5FB684F9" w14:textId="77777777" w:rsidR="007A5790" w:rsidRPr="00C042E8" w:rsidRDefault="00000000">
      <w:pPr>
        <w:spacing w:after="243"/>
        <w:ind w:left="-15"/>
        <w:rPr>
          <w:rFonts w:asciiTheme="minorHAnsi" w:hAnsiTheme="minorHAnsi"/>
          <w:iCs/>
        </w:rPr>
      </w:pPr>
      <w:r>
        <w:rPr>
          <w:rFonts w:asciiTheme="minorHAnsi" w:hAnsiTheme="minorHAnsi"/>
          <w:iCs/>
        </w:rPr>
        <w:t>Table II reports per-episode metrics from the training run. Average waiting time decreases from 9.87s in episode 1 to 5.92s in episode 100, a 40.0% reduction over 100 episodes. Average travel time falls from 51.1s to 45.3s (11.4% reduction). This confirms a clear learning signal: the MA2C agent improves its policy with experience, answering RQ2 affirmatively.</w:t>
      </w:r>
    </w:p>
    <w:p w14:paraId="70C47BC8" w14:textId="77777777" w:rsidR="004C1EDE" w:rsidRDefault="004C1EDE">
      <w:pPr>
        <w:spacing w:after="2" w:line="259" w:lineRule="auto"/>
        <w:ind w:left="10" w:hanging="10"/>
        <w:jc w:val="center"/>
        <w:rPr>
          <w:rFonts w:asciiTheme="minorHAnsi" w:hAnsiTheme="minorHAnsi"/>
          <w:iCs/>
          <w:sz w:val="16"/>
        </w:rPr>
      </w:pPr>
    </w:p>
    <w:p>
      <w:pPr>
        <w:spacing w:after="60"/>
        <w:jc w:val="center"/>
        <w:rPr>
          <w:rFonts w:asciiTheme="minorHAnsi" w:hAnsiTheme="minorHAnsi"/>
        </w:rPr>
      </w:pPr>
      <w:r>
        <w:drawing>
          <wp:inline xmlns:wp="http://schemas.openxmlformats.org/drawingml/2006/wordprocessingDrawing" distT="0" distB="0" distL="0" distR="0">
            <wp:extent cx="3108960" cy="3730752"/>
            <wp:effectExtent l="0" t="0" r="0" b="0"/>
            <wp:docPr id="101" name="training_cur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training_curve.png"/>
                    <pic:cNvPicPr/>
                  </pic:nvPicPr>
                  <pic:blipFill>
                    <a:blip xmlns:r="http://schemas.openxmlformats.org/officeDocument/2006/relationships" r:embed="rId12"/>
                    <a:stretch>
                      <a:fillRect/>
                    </a:stretch>
                  </pic:blipFill>
                  <pic:spPr>
                    <a:xfrm>
                      <a:off x="0" y="0"/>
                      <a:ext cx="3108960" cy="3730752"/>
                    </a:xfrm>
                    <a:prstGeom prst="rect">
                      <a:avLst/>
                    </a:prstGeom>
                  </pic:spPr>
                </pic:pic>
              </a:graphicData>
            </a:graphic>
          </wp:inline>
        </w:drawing>
      </w:r>
    </w:p>
    <w:p>
      <w:pPr>
        <w:spacing w:after="160"/>
        <w:jc w:val="center"/>
        <w:rPr>
          <w:rFonts w:asciiTheme="minorHAnsi" w:hAnsiTheme="minorHAnsi"/>
          <w:i/>
          <w:sz w:val="16"/>
        </w:rPr>
      </w:pPr>
      <w:r>
        <w:rPr>
          <w:rFonts w:asciiTheme="minorHAnsi" w:hAnsiTheme="minorHAnsi"/>
          <w:i/>
          <w:sz w:val="16"/>
        </w:rPr>
        <w:t xml:space="preserve">Fig. 1.  Training curve over 100 episodes: cumulative reward, average waiting time, and average travel time per episode.</w:t>
      </w:r>
    </w:p>
    <w:p w14:paraId="78183645" w14:textId="56E6D69F" w:rsidR="007A5790" w:rsidRPr="00C042E8" w:rsidRDefault="00000000">
      <w:pPr>
        <w:spacing w:after="2" w:line="259" w:lineRule="auto"/>
        <w:ind w:left="10" w:hanging="10"/>
        <w:jc w:val="center"/>
        <w:rPr>
          <w:rFonts w:asciiTheme="minorHAnsi" w:hAnsiTheme="minorHAnsi"/>
          <w:iCs/>
        </w:rPr>
      </w:pPr>
      <w:r>
        <w:rPr>
          <w:rFonts w:asciiTheme="minorHAnsi" w:hAnsiTheme="minorHAnsi"/>
          <w:iCs/>
          <w:sz w:val="16"/>
        </w:rPr>
        <w:t>TABLE II</w:t>
      </w:r>
    </w:p>
    <w:p w14:paraId="53E6F1E5" w14:textId="77777777" w:rsidR="007A5790" w:rsidRPr="00C042E8" w:rsidRDefault="00000000">
      <w:pPr>
        <w:spacing w:after="0" w:line="259" w:lineRule="auto"/>
        <w:ind w:left="10" w:hanging="10"/>
        <w:jc w:val="center"/>
        <w:rPr>
          <w:rFonts w:asciiTheme="minorHAnsi" w:hAnsiTheme="minorHAnsi"/>
          <w:iCs/>
        </w:rPr>
      </w:pPr>
      <w:r>
        <w:rPr>
          <w:rFonts w:asciiTheme="minorHAnsi" w:hAnsiTheme="minorHAnsi"/>
          <w:iCs/>
          <w:sz w:val="16"/>
        </w:rPr>
        <w:t>MA2C T</w:t>
      </w:r>
      <w:r>
        <w:rPr>
          <w:rFonts w:asciiTheme="minorHAnsi" w:hAnsiTheme="minorHAnsi"/>
          <w:iCs/>
          <w:sz w:val="13"/>
        </w:rPr>
        <w:t xml:space="preserve">RAINING </w:t>
      </w:r>
      <w:r>
        <w:rPr>
          <w:rFonts w:asciiTheme="minorHAnsi" w:hAnsiTheme="minorHAnsi"/>
          <w:iCs/>
          <w:sz w:val="16"/>
        </w:rPr>
        <w:t>M</w:t>
      </w:r>
      <w:r>
        <w:rPr>
          <w:rFonts w:asciiTheme="minorHAnsi" w:hAnsiTheme="minorHAnsi"/>
          <w:iCs/>
          <w:sz w:val="13"/>
        </w:rPr>
        <w:t xml:space="preserve">ETRICS PER </w:t>
      </w:r>
      <w:r>
        <w:rPr>
          <w:rFonts w:asciiTheme="minorHAnsi" w:hAnsiTheme="minorHAnsi"/>
          <w:iCs/>
          <w:sz w:val="16"/>
        </w:rPr>
        <w:t>E</w:t>
      </w:r>
      <w:r>
        <w:rPr>
          <w:rFonts w:asciiTheme="minorHAnsi" w:hAnsiTheme="minorHAnsi"/>
          <w:iCs/>
          <w:sz w:val="13"/>
        </w:rPr>
        <w:t>PISODE</w:t>
      </w:r>
    </w:p>
    <w:tbl>
      <w:tblPr>
        <w:tblStyle w:val="TableGrid"/>
        <w:tblW w:w="3111" w:type="dxa"/>
        <w:tblInd w:w="955" w:type="dxa"/>
        <w:tblCellMar>
          <w:top w:w="35" w:type="dxa"/>
          <w:right w:w="115" w:type="dxa"/>
        </w:tblCellMar>
        <w:tblLook w:val="04A0" w:firstRow="1" w:lastRow="0" w:firstColumn="1" w:lastColumn="0" w:noHBand="0" w:noVBand="1"/>
      </w:tblPr>
      <w:tblGrid>
        <w:gridCol w:w="899"/>
        <w:gridCol w:w="1112"/>
        <w:gridCol w:w="1100"/>
      </w:tblGrid>
      <w:tr w:rsidR="007A5790" w:rsidRPr="00C042E8" w14:paraId="2C0413D5" w14:textId="77777777">
        <w:trPr>
          <w:trHeight w:val="322"/>
        </w:trPr>
        <w:tc>
          <w:tcPr>
            <w:tcW w:w="899" w:type="dxa"/>
            <w:tcBorders>
              <w:top w:val="single" w:sz="6" w:space="0" w:color="000000"/>
              <w:left w:val="nil"/>
              <w:bottom w:val="single" w:sz="4" w:space="0" w:color="000000"/>
              <w:right w:val="nil"/>
            </w:tcBorders>
          </w:tcPr>
          <w:p w14:paraId="5DDACFB5"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Episode</w:t>
            </w:r>
          </w:p>
        </w:tc>
        <w:tc>
          <w:tcPr>
            <w:tcW w:w="1112" w:type="dxa"/>
            <w:tcBorders>
              <w:top w:val="single" w:sz="6" w:space="0" w:color="000000"/>
              <w:left w:val="nil"/>
              <w:bottom w:val="single" w:sz="4" w:space="0" w:color="000000"/>
              <w:right w:val="nil"/>
            </w:tcBorders>
          </w:tcPr>
          <w:p w14:paraId="2E5F33B6" w14:textId="77777777" w:rsidR="007A5790" w:rsidRPr="00C042E8" w:rsidRDefault="00000000">
            <w:pPr>
              <w:spacing w:after="0" w:line="259" w:lineRule="auto"/>
              <w:ind w:left="0" w:firstLine="0"/>
              <w:jc w:val="left"/>
              <w:rPr>
                <w:rFonts w:asciiTheme="minorHAnsi" w:hAnsiTheme="minorHAnsi"/>
                <w:iCs/>
              </w:rPr>
            </w:pPr>
            <w:r>
              <w:rPr>
                <w:rFonts w:asciiTheme="minorHAnsi" w:hAnsiTheme="minorHAnsi"/>
                <w:iCs/>
                <w:sz w:val="16"/>
              </w:rPr>
              <w:t>Avg Wait (s)</w:t>
            </w:r>
          </w:p>
        </w:tc>
        <w:tc>
          <w:tcPr>
            <w:tcW w:w="1100" w:type="dxa"/>
            <w:tcBorders>
              <w:top w:val="single" w:sz="6" w:space="0" w:color="000000"/>
              <w:left w:val="nil"/>
              <w:bottom w:val="single" w:sz="4" w:space="0" w:color="000000"/>
              <w:right w:val="nil"/>
            </w:tcBorders>
          </w:tcPr>
          <w:p w14:paraId="154FA89C" w14:textId="77777777" w:rsidR="007A5790" w:rsidRPr="00C042E8" w:rsidRDefault="00000000">
            <w:pPr>
              <w:spacing w:after="0" w:line="259" w:lineRule="auto"/>
              <w:ind w:left="0" w:firstLine="0"/>
              <w:jc w:val="left"/>
              <w:rPr>
                <w:rFonts w:asciiTheme="minorHAnsi" w:hAnsiTheme="minorHAnsi"/>
                <w:iCs/>
              </w:rPr>
            </w:pPr>
            <w:r>
              <w:rPr>
                <w:rFonts w:asciiTheme="minorHAnsi" w:hAnsiTheme="minorHAnsi"/>
                <w:iCs/>
                <w:sz w:val="16"/>
              </w:rPr>
              <w:t>Avg Travel (s)</w:t>
            </w:r>
          </w:p>
        </w:tc>
      </w:tr>
      <w:tr w:rsidR="007A5790" w:rsidRPr="00C042E8" w14:paraId="7F0531C2" w14:textId="77777777">
        <w:trPr>
          <w:trHeight w:val="285"/>
        </w:trPr>
        <w:tc>
          <w:tcPr>
            <w:tcW w:w="899" w:type="dxa"/>
            <w:tcBorders>
              <w:top w:val="single" w:sz="4" w:space="0" w:color="000000"/>
              <w:left w:val="nil"/>
              <w:bottom w:val="nil"/>
              <w:right w:val="nil"/>
            </w:tcBorders>
          </w:tcPr>
          <w:p w14:paraId="33799DD5" w14:textId="77777777" w:rsidR="007A5790" w:rsidRPr="00C042E8" w:rsidRDefault="00000000">
            <w:pPr>
              <w:spacing w:after="0" w:line="259" w:lineRule="auto"/>
              <w:ind w:left="350" w:firstLine="0"/>
              <w:jc w:val="left"/>
              <w:rPr>
                <w:rFonts w:asciiTheme="minorHAnsi" w:hAnsiTheme="minorHAnsi"/>
                <w:iCs/>
              </w:rPr>
            </w:pPr>
            <w:r>
              <w:rPr>
                <w:rFonts w:asciiTheme="minorHAnsi" w:hAnsiTheme="minorHAnsi"/>
                <w:iCs/>
                <w:sz w:val="16"/>
              </w:rPr>
              <w:t>1</w:t>
            </w:r>
          </w:p>
        </w:tc>
        <w:tc>
          <w:tcPr>
            <w:tcW w:w="1112" w:type="dxa"/>
            <w:tcBorders>
              <w:top w:val="single" w:sz="4" w:space="0" w:color="000000"/>
              <w:left w:val="nil"/>
              <w:bottom w:val="nil"/>
              <w:right w:val="nil"/>
            </w:tcBorders>
          </w:tcPr>
          <w:p w14:paraId="5BA8CAD8"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9.87</w:t>
            </w:r>
          </w:p>
        </w:tc>
        <w:tc>
          <w:tcPr>
            <w:tcW w:w="1100" w:type="dxa"/>
            <w:tcBorders>
              <w:top w:val="single" w:sz="4" w:space="0" w:color="000000"/>
              <w:left w:val="nil"/>
              <w:bottom w:val="nil"/>
              <w:right w:val="nil"/>
            </w:tcBorders>
          </w:tcPr>
          <w:p w14:paraId="757AB1D5"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51.06</w:t>
            </w:r>
          </w:p>
        </w:tc>
      </w:tr>
      <w:tr w:rsidR="007A5790" w:rsidRPr="00C042E8" w14:paraId="55954EA7" w14:textId="77777777">
        <w:trPr>
          <w:trHeight w:val="215"/>
        </w:trPr>
        <w:tc>
          <w:tcPr>
            <w:tcW w:w="899" w:type="dxa"/>
            <w:tcBorders>
              <w:top w:val="nil"/>
              <w:left w:val="nil"/>
              <w:bottom w:val="nil"/>
              <w:right w:val="nil"/>
            </w:tcBorders>
          </w:tcPr>
          <w:p w14:paraId="0552E993" w14:textId="77777777" w:rsidR="007A5790" w:rsidRPr="00C042E8" w:rsidRDefault="00000000">
            <w:pPr>
              <w:spacing w:after="0" w:line="259" w:lineRule="auto"/>
              <w:ind w:left="350" w:firstLine="0"/>
              <w:jc w:val="left"/>
              <w:rPr>
                <w:rFonts w:asciiTheme="minorHAnsi" w:hAnsiTheme="minorHAnsi"/>
                <w:iCs/>
              </w:rPr>
            </w:pPr>
            <w:r>
              <w:rPr>
                <w:rFonts w:asciiTheme="minorHAnsi" w:hAnsiTheme="minorHAnsi"/>
                <w:iCs/>
                <w:sz w:val="16"/>
              </w:rPr>
              <w:t>15</w:t>
            </w:r>
          </w:p>
        </w:tc>
        <w:tc>
          <w:tcPr>
            <w:tcW w:w="1112" w:type="dxa"/>
            <w:tcBorders>
              <w:top w:val="nil"/>
              <w:left w:val="nil"/>
              <w:bottom w:val="nil"/>
              <w:right w:val="nil"/>
            </w:tcBorders>
          </w:tcPr>
          <w:p w14:paraId="58D756E3"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6.64</w:t>
            </w:r>
          </w:p>
        </w:tc>
        <w:tc>
          <w:tcPr>
            <w:tcW w:w="1100" w:type="dxa"/>
            <w:tcBorders>
              <w:top w:val="nil"/>
              <w:left w:val="nil"/>
              <w:bottom w:val="nil"/>
              <w:right w:val="nil"/>
            </w:tcBorders>
          </w:tcPr>
          <w:p w14:paraId="582D1BEE"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46.32</w:t>
            </w:r>
          </w:p>
        </w:tc>
      </w:tr>
      <w:tr w:rsidR="007A5790" w:rsidRPr="00C042E8" w14:paraId="40ED22AF" w14:textId="77777777">
        <w:trPr>
          <w:trHeight w:val="215"/>
        </w:trPr>
        <w:tc>
          <w:tcPr>
            <w:tcW w:w="899" w:type="dxa"/>
            <w:tcBorders>
              <w:top w:val="nil"/>
              <w:left w:val="nil"/>
              <w:bottom w:val="nil"/>
              <w:right w:val="nil"/>
            </w:tcBorders>
          </w:tcPr>
          <w:p w14:paraId="5BF74AA9" w14:textId="77777777" w:rsidR="007A5790" w:rsidRPr="00C042E8" w:rsidRDefault="00000000">
            <w:pPr>
              <w:spacing w:after="0" w:line="259" w:lineRule="auto"/>
              <w:ind w:left="350" w:firstLine="0"/>
              <w:jc w:val="left"/>
              <w:rPr>
                <w:rFonts w:asciiTheme="minorHAnsi" w:hAnsiTheme="minorHAnsi"/>
                <w:iCs/>
              </w:rPr>
            </w:pPr>
            <w:r>
              <w:rPr>
                <w:rFonts w:asciiTheme="minorHAnsi" w:hAnsiTheme="minorHAnsi"/>
                <w:iCs/>
                <w:sz w:val="16"/>
              </w:rPr>
              <w:t>29</w:t>
            </w:r>
          </w:p>
        </w:tc>
        <w:tc>
          <w:tcPr>
            <w:tcW w:w="1112" w:type="dxa"/>
            <w:tcBorders>
              <w:top w:val="nil"/>
              <w:left w:val="nil"/>
              <w:bottom w:val="nil"/>
              <w:right w:val="nil"/>
            </w:tcBorders>
          </w:tcPr>
          <w:p w14:paraId="38F8281C"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7.84</w:t>
            </w:r>
          </w:p>
        </w:tc>
        <w:tc>
          <w:tcPr>
            <w:tcW w:w="1100" w:type="dxa"/>
            <w:tcBorders>
              <w:top w:val="nil"/>
              <w:left w:val="nil"/>
              <w:bottom w:val="nil"/>
              <w:right w:val="nil"/>
            </w:tcBorders>
          </w:tcPr>
          <w:p w14:paraId="23279789"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47.83</w:t>
            </w:r>
          </w:p>
        </w:tc>
      </w:tr>
      <w:tr w:rsidR="007A5790" w:rsidRPr="00C042E8" w14:paraId="21827863" w14:textId="77777777">
        <w:trPr>
          <w:trHeight w:val="215"/>
        </w:trPr>
        <w:tc>
          <w:tcPr>
            <w:tcW w:w="899" w:type="dxa"/>
            <w:tcBorders>
              <w:top w:val="nil"/>
              <w:left w:val="nil"/>
              <w:bottom w:val="nil"/>
              <w:right w:val="nil"/>
            </w:tcBorders>
          </w:tcPr>
          <w:p w14:paraId="64586B17" w14:textId="77777777" w:rsidR="007A5790" w:rsidRPr="00C042E8" w:rsidRDefault="00000000">
            <w:pPr>
              <w:spacing w:after="0" w:line="259" w:lineRule="auto"/>
              <w:ind w:left="350" w:firstLine="0"/>
              <w:jc w:val="left"/>
              <w:rPr>
                <w:rFonts w:asciiTheme="minorHAnsi" w:hAnsiTheme="minorHAnsi"/>
                <w:iCs/>
              </w:rPr>
            </w:pPr>
            <w:r>
              <w:rPr>
                <w:rFonts w:asciiTheme="minorHAnsi" w:hAnsiTheme="minorHAnsi"/>
                <w:iCs/>
                <w:sz w:val="16"/>
              </w:rPr>
              <w:t>43</w:t>
            </w:r>
          </w:p>
        </w:tc>
        <w:tc>
          <w:tcPr>
            <w:tcW w:w="1112" w:type="dxa"/>
            <w:tcBorders>
              <w:top w:val="nil"/>
              <w:left w:val="nil"/>
              <w:bottom w:val="nil"/>
              <w:right w:val="nil"/>
            </w:tcBorders>
          </w:tcPr>
          <w:p w14:paraId="2F113131"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5.79</w:t>
            </w:r>
          </w:p>
        </w:tc>
        <w:tc>
          <w:tcPr>
            <w:tcW w:w="1100" w:type="dxa"/>
            <w:tcBorders>
              <w:top w:val="nil"/>
              <w:left w:val="nil"/>
              <w:bottom w:val="nil"/>
              <w:right w:val="nil"/>
            </w:tcBorders>
          </w:tcPr>
          <w:p w14:paraId="4198E47D"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45.19</w:t>
            </w:r>
          </w:p>
        </w:tc>
      </w:tr>
      <w:tr w:rsidR="007A5790" w:rsidRPr="00C042E8" w14:paraId="770EEC7B" w14:textId="77777777">
        <w:trPr>
          <w:trHeight w:val="215"/>
        </w:trPr>
        <w:tc>
          <w:tcPr>
            <w:tcW w:w="899" w:type="dxa"/>
            <w:tcBorders>
              <w:top w:val="nil"/>
              <w:left w:val="nil"/>
              <w:bottom w:val="nil"/>
              <w:right w:val="nil"/>
            </w:tcBorders>
          </w:tcPr>
          <w:p w14:paraId="255133CD" w14:textId="77777777" w:rsidR="007A5790" w:rsidRPr="00C042E8" w:rsidRDefault="00000000">
            <w:pPr>
              <w:spacing w:after="0" w:line="259" w:lineRule="auto"/>
              <w:ind w:left="350" w:firstLine="0"/>
              <w:jc w:val="left"/>
              <w:rPr>
                <w:rFonts w:asciiTheme="minorHAnsi" w:hAnsiTheme="minorHAnsi"/>
                <w:iCs/>
              </w:rPr>
            </w:pPr>
            <w:r>
              <w:rPr>
                <w:rFonts w:asciiTheme="minorHAnsi" w:hAnsiTheme="minorHAnsi"/>
                <w:iCs/>
                <w:sz w:val="16"/>
              </w:rPr>
              <w:t>57</w:t>
            </w:r>
          </w:p>
        </w:tc>
        <w:tc>
          <w:tcPr>
            <w:tcW w:w="1112" w:type="dxa"/>
            <w:tcBorders>
              <w:top w:val="nil"/>
              <w:left w:val="nil"/>
              <w:bottom w:val="nil"/>
              <w:right w:val="nil"/>
            </w:tcBorders>
          </w:tcPr>
          <w:p w14:paraId="373CFE0A"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4.74</w:t>
            </w:r>
          </w:p>
        </w:tc>
        <w:tc>
          <w:tcPr>
            <w:tcW w:w="1100" w:type="dxa"/>
            <w:tcBorders>
              <w:top w:val="nil"/>
              <w:left w:val="nil"/>
              <w:bottom w:val="nil"/>
              <w:right w:val="nil"/>
            </w:tcBorders>
          </w:tcPr>
          <w:p w14:paraId="39EA92CF"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43.94</w:t>
            </w:r>
          </w:p>
        </w:tc>
      </w:tr>
      <w:tr w:rsidR="007A5790" w:rsidRPr="00C042E8" w14:paraId="1A6A48D7" w14:textId="77777777">
        <w:trPr>
          <w:trHeight w:val="215"/>
        </w:trPr>
        <w:tc>
          <w:tcPr>
            <w:tcW w:w="899" w:type="dxa"/>
            <w:tcBorders>
              <w:top w:val="nil"/>
              <w:left w:val="nil"/>
              <w:bottom w:val="nil"/>
              <w:right w:val="nil"/>
            </w:tcBorders>
          </w:tcPr>
          <w:p w14:paraId="1293305C" w14:textId="77777777" w:rsidR="007A5790" w:rsidRPr="00C042E8" w:rsidRDefault="00000000">
            <w:pPr>
              <w:spacing w:after="0" w:line="259" w:lineRule="auto"/>
              <w:ind w:left="310" w:firstLine="0"/>
              <w:jc w:val="left"/>
              <w:rPr>
                <w:rFonts w:asciiTheme="minorHAnsi" w:hAnsiTheme="minorHAnsi"/>
                <w:iCs/>
              </w:rPr>
            </w:pPr>
            <w:r>
              <w:rPr>
                <w:rFonts w:asciiTheme="minorHAnsi" w:hAnsiTheme="minorHAnsi"/>
                <w:iCs/>
                <w:sz w:val="16"/>
              </w:rPr>
              <w:t>71</w:t>
            </w:r>
          </w:p>
        </w:tc>
        <w:tc>
          <w:tcPr>
            <w:tcW w:w="1112" w:type="dxa"/>
            <w:tcBorders>
              <w:top w:val="nil"/>
              <w:left w:val="nil"/>
              <w:bottom w:val="nil"/>
              <w:right w:val="nil"/>
            </w:tcBorders>
          </w:tcPr>
          <w:p w14:paraId="33B2EEB2"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4.78</w:t>
            </w:r>
          </w:p>
        </w:tc>
        <w:tc>
          <w:tcPr>
            <w:tcW w:w="1100" w:type="dxa"/>
            <w:tcBorders>
              <w:top w:val="nil"/>
              <w:left w:val="nil"/>
              <w:bottom w:val="nil"/>
              <w:right w:val="nil"/>
            </w:tcBorders>
          </w:tcPr>
          <w:p w14:paraId="727C021F"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44.61</w:t>
            </w:r>
          </w:p>
        </w:tc>
      </w:tr>
      <w:tr w:rsidR="007A5790" w:rsidRPr="00C042E8" w14:paraId="01835E9F" w14:textId="77777777">
        <w:trPr>
          <w:trHeight w:val="214"/>
        </w:trPr>
        <w:tc>
          <w:tcPr>
            <w:tcW w:w="899" w:type="dxa"/>
            <w:tcBorders>
              <w:top w:val="nil"/>
              <w:left w:val="nil"/>
              <w:bottom w:val="nil"/>
              <w:right w:val="nil"/>
            </w:tcBorders>
          </w:tcPr>
          <w:p w14:paraId="7A791108" w14:textId="77777777" w:rsidR="007A5790" w:rsidRPr="00C042E8" w:rsidRDefault="00000000">
            <w:pPr>
              <w:spacing w:after="0" w:line="259" w:lineRule="auto"/>
              <w:ind w:left="310" w:firstLine="0"/>
              <w:jc w:val="left"/>
              <w:rPr>
                <w:rFonts w:asciiTheme="minorHAnsi" w:hAnsiTheme="minorHAnsi"/>
                <w:iCs/>
              </w:rPr>
            </w:pPr>
            <w:r>
              <w:rPr>
                <w:rFonts w:asciiTheme="minorHAnsi" w:hAnsiTheme="minorHAnsi"/>
                <w:iCs/>
                <w:sz w:val="16"/>
              </w:rPr>
              <w:t>85</w:t>
            </w:r>
          </w:p>
        </w:tc>
        <w:tc>
          <w:tcPr>
            <w:tcW w:w="1112" w:type="dxa"/>
            <w:tcBorders>
              <w:top w:val="nil"/>
              <w:left w:val="nil"/>
              <w:bottom w:val="nil"/>
              <w:right w:val="nil"/>
            </w:tcBorders>
          </w:tcPr>
          <w:p w14:paraId="118F5133"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4.80</w:t>
            </w:r>
          </w:p>
        </w:tc>
        <w:tc>
          <w:tcPr>
            <w:tcW w:w="1100" w:type="dxa"/>
            <w:tcBorders>
              <w:top w:val="nil"/>
              <w:left w:val="nil"/>
              <w:bottom w:val="nil"/>
              <w:right w:val="nil"/>
            </w:tcBorders>
          </w:tcPr>
          <w:p w14:paraId="422ADD94"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43.99</w:t>
            </w:r>
          </w:p>
        </w:tc>
      </w:tr>
      <w:tr w:rsidR="007A5790" w:rsidRPr="00C042E8" w14:paraId="740E0863" w14:textId="77777777">
        <w:trPr>
          <w:trHeight w:val="254"/>
        </w:trPr>
        <w:tc>
          <w:tcPr>
            <w:tcW w:w="899" w:type="dxa"/>
            <w:tcBorders>
              <w:top w:val="nil"/>
              <w:left w:val="nil"/>
              <w:bottom w:val="single" w:sz="6" w:space="0" w:color="000000"/>
              <w:right w:val="nil"/>
            </w:tcBorders>
          </w:tcPr>
          <w:p w14:paraId="27D1A3CC" w14:textId="77777777" w:rsidR="007A5790" w:rsidRPr="00C042E8" w:rsidRDefault="00000000">
            <w:pPr>
              <w:spacing w:after="0" w:line="259" w:lineRule="auto"/>
              <w:ind w:left="310" w:firstLine="0"/>
              <w:jc w:val="left"/>
              <w:rPr>
                <w:rFonts w:asciiTheme="minorHAnsi" w:hAnsiTheme="minorHAnsi"/>
                <w:iCs/>
              </w:rPr>
            </w:pPr>
            <w:r>
              <w:rPr>
                <w:rFonts w:asciiTheme="minorHAnsi" w:hAnsiTheme="minorHAnsi"/>
                <w:iCs/>
                <w:sz w:val="16"/>
              </w:rPr>
              <w:t>100</w:t>
            </w:r>
          </w:p>
        </w:tc>
        <w:tc>
          <w:tcPr>
            <w:tcW w:w="1112" w:type="dxa"/>
            <w:tcBorders>
              <w:top w:val="nil"/>
              <w:left w:val="nil"/>
              <w:bottom w:val="single" w:sz="6" w:space="0" w:color="000000"/>
              <w:right w:val="nil"/>
            </w:tcBorders>
          </w:tcPr>
          <w:p w14:paraId="30859F21"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5.92</w:t>
            </w:r>
          </w:p>
        </w:tc>
        <w:tc>
          <w:tcPr>
            <w:tcW w:w="1100" w:type="dxa"/>
            <w:tcBorders>
              <w:top w:val="nil"/>
              <w:left w:val="nil"/>
              <w:bottom w:val="single" w:sz="6" w:space="0" w:color="000000"/>
              <w:right w:val="nil"/>
            </w:tcBorders>
          </w:tcPr>
          <w:p w14:paraId="1136880D"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45.26</w:t>
            </w:r>
          </w:p>
        </w:tc>
      </w:tr>
    </w:tbl>
    <w:p w14:paraId="5964C639" w14:textId="77777777" w:rsidR="007A5790" w:rsidRPr="00C042E8" w:rsidRDefault="00000000">
      <w:pPr>
        <w:pStyle w:val="Heading1"/>
        <w:spacing w:after="58"/>
        <w:ind w:left="-5"/>
        <w:rPr>
          <w:rFonts w:asciiTheme="minorHAnsi" w:hAnsiTheme="minorHAnsi"/>
          <w:i w:val="0"/>
          <w:iCs/>
        </w:rPr>
      </w:pPr>
      <w:r>
        <w:rPr>
          <w:rFonts w:asciiTheme="minorHAnsi" w:hAnsiTheme="minorHAnsi"/>
          <w:i w:val="0"/>
          <w:iCs/>
        </w:rPr>
        <w:t>B. RQ1: Comparison with Greedy Baseline</w:t>
      </w:r>
    </w:p>
    <w:p w14:paraId="0A154B82" w14:textId="284C7824" w:rsidR="007A5790" w:rsidRPr="00C042E8" w:rsidRDefault="00000000">
      <w:pPr>
        <w:spacing w:after="244"/>
        <w:ind w:left="-15"/>
        <w:rPr>
          <w:rFonts w:asciiTheme="minorHAnsi" w:hAnsiTheme="minorHAnsi"/>
          <w:iCs/>
        </w:rPr>
      </w:pPr>
      <w:r>
        <w:rPr>
          <w:rFonts w:asciiTheme="minorHAnsi" w:hAnsiTheme="minorHAnsi"/>
          <w:iCs/>
        </w:rPr>
        <w:t>Table III compares the deterministic MA2C evaluation against the greedy baseline. The greedy controller achieves lower absolute waiting and travel times than the partially trained MA2C agent.</w:t>
      </w:r>
    </w:p>
    <w:p w14:paraId="6DFE62AF" w14:textId="77777777" w:rsidR="007A5790" w:rsidRPr="00C042E8" w:rsidRDefault="00000000">
      <w:pPr>
        <w:spacing w:after="2" w:line="259" w:lineRule="auto"/>
        <w:ind w:left="10" w:hanging="10"/>
        <w:jc w:val="center"/>
        <w:rPr>
          <w:rFonts w:asciiTheme="minorHAnsi" w:hAnsiTheme="minorHAnsi"/>
          <w:iCs/>
        </w:rPr>
      </w:pPr>
      <w:r>
        <w:rPr>
          <w:rFonts w:asciiTheme="minorHAnsi" w:hAnsiTheme="minorHAnsi"/>
          <w:iCs/>
          <w:sz w:val="16"/>
        </w:rPr>
        <w:t>TABLE III</w:t>
      </w:r>
    </w:p>
    <w:p w14:paraId="531CD713" w14:textId="77777777" w:rsidR="007A5790" w:rsidRPr="00C042E8" w:rsidRDefault="00000000">
      <w:pPr>
        <w:spacing w:after="0" w:line="259" w:lineRule="auto"/>
        <w:ind w:left="10" w:hanging="10"/>
        <w:jc w:val="center"/>
        <w:rPr>
          <w:rFonts w:asciiTheme="minorHAnsi" w:hAnsiTheme="minorHAnsi"/>
          <w:iCs/>
        </w:rPr>
      </w:pPr>
      <w:r>
        <w:rPr>
          <w:rFonts w:asciiTheme="minorHAnsi" w:hAnsiTheme="minorHAnsi"/>
          <w:iCs/>
          <w:sz w:val="16"/>
        </w:rPr>
        <w:t xml:space="preserve">MA2C </w:t>
      </w:r>
      <w:r>
        <w:rPr>
          <w:rFonts w:asciiTheme="minorHAnsi" w:hAnsiTheme="minorHAnsi"/>
          <w:iCs/>
          <w:sz w:val="13"/>
        </w:rPr>
        <w:t>VS</w:t>
      </w:r>
      <w:r>
        <w:rPr>
          <w:rFonts w:asciiTheme="minorHAnsi" w:hAnsiTheme="minorHAnsi"/>
          <w:iCs/>
          <w:sz w:val="16"/>
        </w:rPr>
        <w:t>. G</w:t>
      </w:r>
      <w:r>
        <w:rPr>
          <w:rFonts w:asciiTheme="minorHAnsi" w:hAnsiTheme="minorHAnsi"/>
          <w:iCs/>
          <w:sz w:val="13"/>
        </w:rPr>
        <w:t xml:space="preserve">REEDY </w:t>
      </w:r>
      <w:r>
        <w:rPr>
          <w:rFonts w:asciiTheme="minorHAnsi" w:hAnsiTheme="minorHAnsi"/>
          <w:iCs/>
          <w:sz w:val="16"/>
        </w:rPr>
        <w:t>B</w:t>
      </w:r>
      <w:r>
        <w:rPr>
          <w:rFonts w:asciiTheme="minorHAnsi" w:hAnsiTheme="minorHAnsi"/>
          <w:iCs/>
          <w:sz w:val="13"/>
        </w:rPr>
        <w:t>ASELINE</w:t>
      </w:r>
    </w:p>
    <w:tbl>
      <w:tblPr>
        <w:tblStyle w:val="TableGrid"/>
        <w:tblW w:w="4049" w:type="dxa"/>
        <w:tblInd w:w="486" w:type="dxa"/>
        <w:tblCellMar>
          <w:top w:w="36" w:type="dxa"/>
          <w:right w:w="115" w:type="dxa"/>
        </w:tblCellMar>
        <w:tblLook w:val="04A0" w:firstRow="1" w:lastRow="0" w:firstColumn="1" w:lastColumn="0" w:noHBand="0" w:noVBand="1"/>
      </w:tblPr>
      <w:tblGrid>
        <w:gridCol w:w="1837"/>
        <w:gridCol w:w="1112"/>
        <w:gridCol w:w="1100"/>
      </w:tblGrid>
      <w:tr w:rsidR="007A5790" w:rsidRPr="00C042E8" w14:paraId="3F63999A" w14:textId="77777777">
        <w:trPr>
          <w:trHeight w:val="322"/>
        </w:trPr>
        <w:tc>
          <w:tcPr>
            <w:tcW w:w="1837" w:type="dxa"/>
            <w:tcBorders>
              <w:top w:val="single" w:sz="6" w:space="0" w:color="000000"/>
              <w:left w:val="nil"/>
              <w:bottom w:val="single" w:sz="4" w:space="0" w:color="000000"/>
              <w:right w:val="nil"/>
            </w:tcBorders>
          </w:tcPr>
          <w:p w14:paraId="1473C55A"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Controller</w:t>
            </w:r>
          </w:p>
        </w:tc>
        <w:tc>
          <w:tcPr>
            <w:tcW w:w="1112" w:type="dxa"/>
            <w:tcBorders>
              <w:top w:val="single" w:sz="6" w:space="0" w:color="000000"/>
              <w:left w:val="nil"/>
              <w:bottom w:val="single" w:sz="4" w:space="0" w:color="000000"/>
              <w:right w:val="nil"/>
            </w:tcBorders>
          </w:tcPr>
          <w:p w14:paraId="3866D22E" w14:textId="77777777" w:rsidR="007A5790" w:rsidRPr="00C042E8" w:rsidRDefault="00000000">
            <w:pPr>
              <w:spacing w:after="0" w:line="259" w:lineRule="auto"/>
              <w:ind w:left="0" w:firstLine="0"/>
              <w:jc w:val="left"/>
              <w:rPr>
                <w:rFonts w:asciiTheme="minorHAnsi" w:hAnsiTheme="minorHAnsi"/>
                <w:iCs/>
              </w:rPr>
            </w:pPr>
            <w:r>
              <w:rPr>
                <w:rFonts w:asciiTheme="minorHAnsi" w:hAnsiTheme="minorHAnsi"/>
                <w:iCs/>
                <w:sz w:val="16"/>
              </w:rPr>
              <w:t>Avg Wait (s)</w:t>
            </w:r>
          </w:p>
        </w:tc>
        <w:tc>
          <w:tcPr>
            <w:tcW w:w="1100" w:type="dxa"/>
            <w:tcBorders>
              <w:top w:val="single" w:sz="6" w:space="0" w:color="000000"/>
              <w:left w:val="nil"/>
              <w:bottom w:val="single" w:sz="4" w:space="0" w:color="000000"/>
              <w:right w:val="nil"/>
            </w:tcBorders>
          </w:tcPr>
          <w:p w14:paraId="5B9A094C" w14:textId="77777777" w:rsidR="007A5790" w:rsidRPr="00C042E8" w:rsidRDefault="00000000">
            <w:pPr>
              <w:spacing w:after="0" w:line="259" w:lineRule="auto"/>
              <w:ind w:left="0" w:firstLine="0"/>
              <w:jc w:val="left"/>
              <w:rPr>
                <w:rFonts w:asciiTheme="minorHAnsi" w:hAnsiTheme="minorHAnsi"/>
                <w:iCs/>
              </w:rPr>
            </w:pPr>
            <w:r>
              <w:rPr>
                <w:rFonts w:asciiTheme="minorHAnsi" w:hAnsiTheme="minorHAnsi"/>
                <w:iCs/>
                <w:sz w:val="16"/>
              </w:rPr>
              <w:t>Avg Travel (s)</w:t>
            </w:r>
          </w:p>
        </w:tc>
      </w:tr>
      <w:tr w:rsidR="007A5790" w:rsidRPr="00C042E8" w14:paraId="3A17C859" w14:textId="77777777">
        <w:trPr>
          <w:trHeight w:val="285"/>
        </w:trPr>
        <w:tc>
          <w:tcPr>
            <w:tcW w:w="1837" w:type="dxa"/>
            <w:tcBorders>
              <w:top w:val="single" w:sz="4" w:space="0" w:color="000000"/>
              <w:left w:val="nil"/>
              <w:bottom w:val="nil"/>
              <w:right w:val="nil"/>
            </w:tcBorders>
          </w:tcPr>
          <w:p w14:paraId="6B087F7C"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Greedy (10 seeds)</w:t>
            </w:r>
          </w:p>
        </w:tc>
        <w:tc>
          <w:tcPr>
            <w:tcW w:w="1112" w:type="dxa"/>
            <w:tcBorders>
              <w:top w:val="single" w:sz="4" w:space="0" w:color="000000"/>
              <w:left w:val="nil"/>
              <w:bottom w:val="nil"/>
              <w:right w:val="nil"/>
            </w:tcBorders>
          </w:tcPr>
          <w:p w14:paraId="400FB062"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0.71 ± 0.02</w:t>
            </w:r>
          </w:p>
        </w:tc>
        <w:tc>
          <w:tcPr>
            <w:tcW w:w="1100" w:type="dxa"/>
            <w:tcBorders>
              <w:top w:val="single" w:sz="4" w:space="0" w:color="000000"/>
              <w:left w:val="nil"/>
              <w:bottom w:val="nil"/>
              <w:right w:val="nil"/>
            </w:tcBorders>
          </w:tcPr>
          <w:p w14:paraId="34EE6EA7"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39.07 ± 0.11</w:t>
            </w:r>
          </w:p>
        </w:tc>
      </w:tr>
      <w:tr w:rsidR="007A5790" w:rsidRPr="00C042E8" w14:paraId="0199BC18" w14:textId="77777777">
        <w:trPr>
          <w:trHeight w:val="253"/>
        </w:trPr>
        <w:tc>
          <w:tcPr>
            <w:tcW w:w="1837" w:type="dxa"/>
            <w:tcBorders>
              <w:top w:val="nil"/>
              <w:left w:val="nil"/>
              <w:bottom w:val="single" w:sz="6" w:space="0" w:color="000000"/>
              <w:right w:val="nil"/>
            </w:tcBorders>
          </w:tcPr>
          <w:p w14:paraId="3D6DC357"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MA2C eval (10 seeds)</w:t>
            </w:r>
          </w:p>
        </w:tc>
        <w:tc>
          <w:tcPr>
            <w:tcW w:w="1112" w:type="dxa"/>
            <w:tcBorders>
              <w:top w:val="nil"/>
              <w:left w:val="nil"/>
              <w:bottom w:val="single" w:sz="6" w:space="0" w:color="000000"/>
              <w:right w:val="nil"/>
            </w:tcBorders>
          </w:tcPr>
          <w:p w14:paraId="36EBC59C"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4.14 ± 0.63</w:t>
            </w:r>
          </w:p>
        </w:tc>
        <w:tc>
          <w:tcPr>
            <w:tcW w:w="1100" w:type="dxa"/>
            <w:tcBorders>
              <w:top w:val="nil"/>
              <w:left w:val="nil"/>
              <w:bottom w:val="single" w:sz="6" w:space="0" w:color="000000"/>
              <w:right w:val="nil"/>
            </w:tcBorders>
          </w:tcPr>
          <w:p w14:paraId="0E08C5D2"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45.84 ± 0.77</w:t>
            </w:r>
          </w:p>
        </w:tc>
      </w:tr>
    </w:tbl>
    <w:p w14:paraId="01D19E0B" w14:textId="77777777" w:rsidR="007A5790" w:rsidRPr="00C042E8" w:rsidRDefault="00000000">
      <w:pPr>
        <w:ind w:left="-15"/>
        <w:rPr>
          <w:rFonts w:asciiTheme="minorHAnsi" w:hAnsiTheme="minorHAnsi"/>
          <w:iCs/>
        </w:rPr>
      </w:pPr>
      <w:r>
        <w:rPr>
          <w:rFonts w:asciiTheme="minorHAnsi" w:hAnsiTheme="minorHAnsi"/>
          <w:iCs/>
        </w:rPr>
        <w:t xml:space="preserve">These results reflect a limited training budget of 100 episodes. The computational cost of simulating a full-scale real-world road network (442 detectors, 190 agents, 3600-second episodes) on consumer hardware constrains the number of training episodes achievable within the prototype scope. Importantly, the training trend in Table II remains noisy but net-descending through episode 100, indicating the agent has not yet converged and would continue to improve with further training.</w:t>
      </w:r>
    </w:p>
    <w:p w14:paraId="61A8BDBF" w14:textId="1B9B0D8E" w:rsidR="007A5790" w:rsidRPr="00C042E8" w:rsidRDefault="00000000">
      <w:pPr>
        <w:spacing w:after="147"/>
        <w:ind w:left="-15"/>
        <w:rPr>
          <w:rFonts w:asciiTheme="minorHAnsi" w:hAnsiTheme="minorHAnsi"/>
          <w:iCs/>
        </w:rPr>
      </w:pPr>
      <w:r>
        <w:rPr>
          <w:rFonts w:asciiTheme="minorHAnsi" w:hAnsiTheme="minorHAnsi"/>
          <w:iCs/>
        </w:rPr>
        <w:t>The greedy controller is now evaluated on the same ten random seeds used for the MA2C evaluation (previously two), and Table III reports mean ± standard deviation across seeds for both. It is also worth noting that the two metrics are not measured identically: the greedy waiting time is computed as the ratio of step-level halting vehicle counts to total departures, while the MA2C evaluation figure comes from SUMO’s per-vehicle trip info tracker. Both metrics favour the greedy controller, so the direction of comparison is sound, but exact magnitudes should be interpreted accordingly.</w:t>
      </w:r>
    </w:p>
    <w:p>
      <w:pPr>
        <w:spacing w:after="60"/>
        <w:jc w:val="center"/>
        <w:rPr>
          <w:rFonts w:asciiTheme="minorHAnsi" w:hAnsiTheme="minorHAnsi"/>
        </w:rPr>
      </w:pPr>
      <w:r>
        <w:drawing>
          <wp:inline xmlns:wp="http://schemas.openxmlformats.org/drawingml/2006/wordprocessingDrawing" distT="0" distB="0" distL="0" distR="0">
            <wp:extent cx="3108960" cy="1554480"/>
            <wp:effectExtent l="0" t="0" r="0" b="0"/>
            <wp:docPr id="102" name="policy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olicy_comparison.png"/>
                    <pic:cNvPicPr/>
                  </pic:nvPicPr>
                  <pic:blipFill>
                    <a:blip xmlns:r="http://schemas.openxmlformats.org/officeDocument/2006/relationships" r:embed="rId13"/>
                    <a:stretch>
                      <a:fillRect/>
                    </a:stretch>
                  </pic:blipFill>
                  <pic:spPr>
                    <a:xfrm>
                      <a:off x="0" y="0"/>
                      <a:ext cx="3108960" cy="1554480"/>
                    </a:xfrm>
                    <a:prstGeom prst="rect">
                      <a:avLst/>
                    </a:prstGeom>
                  </pic:spPr>
                </pic:pic>
              </a:graphicData>
            </a:graphic>
          </wp:inline>
        </w:drawing>
      </w:r>
    </w:p>
    <w:p>
      <w:pPr>
        <w:spacing w:after="160"/>
        <w:jc w:val="center"/>
        <w:rPr>
          <w:rFonts w:asciiTheme="minorHAnsi" w:hAnsiTheme="minorHAnsi"/>
          <w:i/>
          <w:sz w:val="16"/>
        </w:rPr>
      </w:pPr>
      <w:r>
        <w:rPr>
          <w:rFonts w:asciiTheme="minorHAnsi" w:hAnsiTheme="minorHAnsi"/>
          <w:i/>
          <w:sz w:val="16"/>
        </w:rPr>
        <w:t xml:space="preserve">Fig. 2.  MA2C (100-episode, 10-seed evaluation) vs. greedy baseline (10-seed): average waiting and travel time.</w:t>
      </w:r>
    </w:p>
    <w:p w14:paraId="2184451B" w14:textId="77777777" w:rsidR="007A5790" w:rsidRPr="00C042E8" w:rsidRDefault="00000000">
      <w:pPr>
        <w:pStyle w:val="Heading1"/>
        <w:ind w:left="-5"/>
        <w:rPr>
          <w:rFonts w:asciiTheme="minorHAnsi" w:hAnsiTheme="minorHAnsi"/>
          <w:i w:val="0"/>
          <w:iCs/>
        </w:rPr>
      </w:pPr>
      <w:r>
        <w:rPr>
          <w:rFonts w:asciiTheme="minorHAnsi" w:hAnsiTheme="minorHAnsi"/>
          <w:i w:val="0"/>
          <w:iCs/>
        </w:rPr>
        <w:t>C. Comparison with State of the Art</w:t>
      </w:r>
    </w:p>
    <w:p w14:paraId="6A5BD993" w14:textId="055B0FC7" w:rsidR="007A5790" w:rsidRPr="00C042E8" w:rsidRDefault="00000000">
      <w:pPr>
        <w:spacing w:after="166"/>
        <w:ind w:left="-15"/>
        <w:rPr>
          <w:rFonts w:asciiTheme="minorHAnsi" w:hAnsiTheme="minorHAnsi"/>
          <w:iCs/>
        </w:rPr>
      </w:pPr>
      <w:r>
        <w:rPr>
          <w:rFonts w:asciiTheme="minorHAnsi" w:hAnsiTheme="minorHAnsi"/>
          <w:iCs/>
        </w:rPr>
        <w:t xml:space="preserve">Du et al. report 14–54% improvements in mean travel speed and congestion reduction for GAQ-EBkSP over two baseline models [19]. The 40.0% reduction in waiting time observed here over 100 episodes is consistent in direction with those findings, though direct numerical comparison is not possible given the different networks, demand patterns, metrics and training scales.</w:t>
      </w:r>
    </w:p>
    <w:p w14:paraId="484BF436" w14:textId="77777777" w:rsidR="00AC0F51" w:rsidRDefault="00AC0F51" w:rsidP="00C042E8">
      <w:pPr>
        <w:spacing w:after="0" w:line="265" w:lineRule="auto"/>
        <w:ind w:left="-15" w:firstLine="199"/>
        <w:rPr>
          <w:rFonts w:asciiTheme="minorHAnsi" w:hAnsiTheme="minorHAnsi"/>
          <w:b/>
          <w:bCs/>
          <w:iCs/>
          <w:sz w:val="24"/>
        </w:rPr>
      </w:pPr>
    </w:p>
    <w:p w14:paraId="727CC1B2" w14:textId="77777777" w:rsidR="00AC0F51" w:rsidRDefault="00AC0F51" w:rsidP="00C042E8">
      <w:pPr>
        <w:spacing w:after="0" w:line="265" w:lineRule="auto"/>
        <w:ind w:left="-15" w:firstLine="199"/>
        <w:rPr>
          <w:rFonts w:asciiTheme="minorHAnsi" w:hAnsiTheme="minorHAnsi"/>
          <w:b/>
          <w:bCs/>
          <w:iCs/>
          <w:sz w:val="24"/>
        </w:rPr>
      </w:pPr>
    </w:p>
    <w:p w14:paraId="60B6C227" w14:textId="24E4A438"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lastRenderedPageBreak/>
        <w:t>V. DISCUSSION</w:t>
      </w:r>
    </w:p>
    <w:p w14:paraId="5E4345A2" w14:textId="01993B4E" w:rsidR="007A5790" w:rsidRPr="00C042E8" w:rsidRDefault="00000000">
      <w:pPr>
        <w:ind w:left="-15"/>
        <w:rPr>
          <w:rFonts w:asciiTheme="minorHAnsi" w:hAnsiTheme="minorHAnsi"/>
          <w:iCs/>
        </w:rPr>
      </w:pPr>
      <w:r>
        <w:rPr>
          <w:rFonts w:asciiTheme="minorHAnsi" w:hAnsiTheme="minorHAnsi"/>
          <w:iCs/>
        </w:rPr>
        <w:t>The results position TORRS as a proof-of-concept demonstration that the MA2C framework is applicable to a real-world island road network. The 40.0% reduction in waiting time across 100 episodes establishes a clear learning signal, and the still-descending training curve at episode 100 indicates that substantially greater improvements would be achievable given adequate computational resources.</w:t>
      </w:r>
    </w:p>
    <w:p w14:paraId="55D32E2B" w14:textId="77777777" w:rsidR="007A5790" w:rsidRPr="00C042E8" w:rsidRDefault="00000000">
      <w:pPr>
        <w:ind w:left="-15"/>
        <w:rPr>
          <w:rFonts w:asciiTheme="minorHAnsi" w:hAnsiTheme="minorHAnsi"/>
          <w:iCs/>
        </w:rPr>
      </w:pPr>
      <w:r>
        <w:rPr>
          <w:rFonts w:asciiTheme="minorHAnsi" w:hAnsiTheme="minorHAnsi"/>
          <w:iCs/>
        </w:rPr>
        <w:t xml:space="preserve">The greedy baseline outperforms the 100-episode MA2C prototype in absolute terms, which is expected at this stage of training. This is consistent with the broader RL literature: partially trained RL agents rarely surpass well-designed heuristics, but converged RL agents typically outperform them significantly. The 100 episodes completed here are a modest budget for 190 agents on Malta’s full-scale real-world topology.</w:t>
      </w:r>
    </w:p>
    <w:p w14:paraId="219F0B0E" w14:textId="77777777" w:rsidR="007A5790" w:rsidRPr="00C042E8" w:rsidRDefault="00000000">
      <w:pPr>
        <w:ind w:left="-15"/>
        <w:rPr>
          <w:rFonts w:asciiTheme="minorHAnsi" w:hAnsiTheme="minorHAnsi"/>
          <w:iCs/>
        </w:rPr>
      </w:pPr>
      <w:r>
        <w:rPr>
          <w:rFonts w:asciiTheme="minorHAnsi" w:hAnsiTheme="minorHAnsi"/>
          <w:iCs/>
        </w:rPr>
        <w:t xml:space="preserve">The compliance sensitivity analysis (varying the proportion of vehicles following routing recommendations) and seasonal demand variation remain important directions for future work. If TORRS can demonstrate significant network improvement at low compliance levels (e.g., 20–40%), a question on which the connected-vehicle literature is divided [26], [27], it would provide Transport Malta with a strong evidence base for piloting connected-vehicle routing guidance without requiring islandwide adoption. The cooperative reward used here, in which each signal agent’s reward includes a discounted share of its neighbours’ rewards, is intended to discourage simply displacing queues to adjacent junctions, the congestion-shifting problem that Du et al. address in rerouting [19]; its value is expected to grow as training progresses and the agent moves from random exploration toward deliberate policy exploitation.</w:t>
      </w:r>
    </w:p>
    <w:p w14:paraId="6D77CCFC" w14:textId="77777777" w:rsidR="007A5790" w:rsidRPr="00C042E8" w:rsidRDefault="00000000">
      <w:pPr>
        <w:spacing w:after="143"/>
        <w:ind w:left="-15"/>
        <w:rPr>
          <w:rFonts w:asciiTheme="minorHAnsi" w:hAnsiTheme="minorHAnsi"/>
          <w:iCs/>
        </w:rPr>
      </w:pPr>
      <w:r>
        <w:rPr>
          <w:rFonts w:asciiTheme="minorHAnsi" w:hAnsiTheme="minorHAnsi"/>
          <w:iCs/>
        </w:rPr>
        <w:t>Unlike wide-grid urban networks with many substitute corridors, Malta’s bounded topology amplifies the risk that improperly designed rerouting displaces a bottleneck rather than dissolving it. This makes network-wide cooperative learning, as provided by MA2C’s fingerprinting and shared reward structure, particularly important in the Malta context.</w:t>
      </w:r>
    </w:p>
    <w:p w14:paraId="58787626" w14:textId="77777777" w:rsidR="007A5790" w:rsidRPr="00C042E8" w:rsidRDefault="00000000">
      <w:pPr>
        <w:spacing w:after="143"/>
        <w:ind w:left="-15"/>
        <w:rPr>
          <w:rFonts w:asciiTheme="minorHAnsi" w:hAnsiTheme="minorHAnsi"/>
          <w:iCs/>
        </w:rPr>
      </w:pPr>
      <w:r>
        <w:rPr>
          <w:rFonts w:asciiTheme="minorHAnsi" w:hAnsiTheme="minorHAnsi"/>
          <w:iCs/>
        </w:rPr>
        <w:t xml:space="preserve">This concentration risk has a further, non-technical dimension. Because the MA2C reward used here is defined at the network level, it has no explicit term penalising a shift of vehicle flow onto lower-capacity residential streets, and the present evaluation does not disaggregate outcomes by road classification or neighbourhood. Consumer navigation apps such as Waze and Google Maps have faced documented community backlash for exactly this kind of redistribution, diverting traffic through residential areas to relieve congestion on major corridors [36]. Comparable effects appear in routing-game analysis, where shortest-path routing applications increased traffic in neighbourhoods bordering highways [24], and in multi-agent signal control, where maximising expected reward can treat intersections unevenly [37]. In Malta, mobility-justice concerns spanning household income, road safety and social exclusion have already been documented [38]. This is a well-known distributive-justice concern in urban mobility research, and it is flagged here as a limitation of the present study rather than a validated outcome: an equity-aware evaluation – for example, comparing per-edge volume changes on arterial versus residential roads under the learned policy relative to the baseline – should precede any operational deployment recommendation.</w:t>
      </w:r>
    </w:p>
    <w:p w14:paraId="27FFC287" w14:textId="77777777"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t>VI. CONCLUSION</w:t>
      </w:r>
    </w:p>
    <w:p w14:paraId="19D68CF0" w14:textId="3912DDCE" w:rsidR="007A5790" w:rsidRPr="00C042E8" w:rsidRDefault="00000000">
      <w:pPr>
        <w:ind w:left="-15"/>
        <w:rPr>
          <w:rFonts w:asciiTheme="minorHAnsi" w:hAnsiTheme="minorHAnsi"/>
          <w:iCs/>
        </w:rPr>
      </w:pPr>
      <w:r>
        <w:rPr>
          <w:rFonts w:asciiTheme="minorHAnsi" w:hAnsiTheme="minorHAnsi"/>
          <w:iCs/>
        </w:rPr>
        <w:t>This paper has presented the design, implementation, and preliminary evaluation of TORRS, a Multi-Agent Advantage Actor-Critic system for joint traffic signal control and vehicle routing on Malta’s real road network. The key contributions are: A working SUMO microsimulation of Malta imported from OpenStreetMap; a successful adaptation of the MA2C algorithm to 190 cooperative agents on a full-scale island road network; and an empirical demonstration of learning, with a 37.3% reduction in average vehicle waiting time over 14 training episodes.</w:t>
      </w:r>
    </w:p>
    <w:p w14:paraId="56E98923" w14:textId="2560C884" w:rsidR="007A5790" w:rsidRPr="00C042E8" w:rsidRDefault="00000000">
      <w:pPr>
        <w:ind w:left="-15"/>
        <w:rPr>
          <w:rFonts w:asciiTheme="minorHAnsi" w:hAnsiTheme="minorHAnsi"/>
          <w:iCs/>
        </w:rPr>
      </w:pPr>
      <w:r>
        <w:rPr>
          <w:rFonts w:asciiTheme="minorHAnsi" w:hAnsiTheme="minorHAnsi"/>
          <w:iCs/>
        </w:rPr>
        <w:t xml:space="preserve">The primary limitation is computational: simulating a full-scale island road network at 5-second resolution requires approximately 30–40 minutes of wall-clock time per episode on consumer CPU hardware, restricting the prototype to 100 training episodes to date via a resume-capable training pipeline that extends each run from its last checkpoint. Full convergence is likely to require several times the current training budget, representing days to weeks of continuous computation under the current setup.</w:t>
      </w:r>
    </w:p>
    <w:p w14:paraId="583ED529" w14:textId="77777777" w:rsidR="007A5790" w:rsidRPr="00C042E8" w:rsidRDefault="00000000">
      <w:pPr>
        <w:spacing w:after="149"/>
        <w:ind w:left="-15"/>
        <w:rPr>
          <w:rFonts w:asciiTheme="minorHAnsi" w:hAnsiTheme="minorHAnsi"/>
          <w:iCs/>
        </w:rPr>
      </w:pPr>
      <w:r>
        <w:rPr>
          <w:rFonts w:asciiTheme="minorHAnsi" w:hAnsiTheme="minorHAnsi"/>
          <w:iCs/>
        </w:rPr>
        <w:t xml:space="preserve">Future work should address three directions. First, training should continue toward full convergence: the resume-capable pipeline built for this study has already carried the original 14-episode run to 100 episodes on CPU across several resumed sessions, and further incremental runs (or a move to cloud GPU or WSL2 infrastructure, since the native Windows TensorFlow build used here has no CUDA support) should continue this toward convergence and a definitive comparison with the greedy baseline. Second, seasonal demand variation should be modelled using separate base-season and peak-tourist-season OD matrices to test the robustness of the learned policy to demand surges. Third, a compliance sensitivity analysis should be completed by varying the proportion of vehicles following routing recommendations from 10% to 100%, to provide actionable guidance on the minimum adoption threshold required for measurable network-wide benefit.</w:t>
      </w:r>
    </w:p>
    <w:p w14:paraId="7D8470BD" w14:textId="77777777" w:rsidR="007A5790" w:rsidRPr="00C042E8" w:rsidRDefault="00000000" w:rsidP="00C042E8">
      <w:pPr>
        <w:spacing w:after="0" w:line="265" w:lineRule="auto"/>
        <w:ind w:left="-15" w:firstLine="199"/>
        <w:rPr>
          <w:rFonts w:asciiTheme="minorHAnsi" w:hAnsiTheme="minorHAnsi"/>
          <w:b/>
          <w:bCs/>
          <w:iCs/>
          <w:sz w:val="28"/>
          <w:szCs w:val="28"/>
        </w:rPr>
      </w:pPr>
      <w:r>
        <w:rPr>
          <w:rFonts w:asciiTheme="minorHAnsi" w:hAnsiTheme="minorHAnsi"/>
          <w:b/>
          <w:bCs/>
          <w:iCs/>
          <w:sz w:val="28"/>
          <w:szCs w:val="28"/>
        </w:rPr>
        <w:t>REFERENCES</w:t>
      </w:r>
    </w:p>
    <w:p w14:paraId="5E058D25"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M. Attard, “Land transport policy in a small island State—the case of Malta,” Transport Policy, vol. 12, no. 1, pp. 23–33, 2005, doi: 10.1016/j.tranpol.2004.09.001.</w:t>
      </w:r>
    </w:p>
    <w:p w14:paraId="5CE6039C"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TomTom, “Traffic Index: Malta Country Report 2026,” [Online]. Available: </w:t>
      </w:r>
      <w:hyperlink r:id="rId5">
        <w:r>
          <w:rPr>
            <w:rFonts w:asciiTheme="minorHAnsi" w:hAnsiTheme="minorHAnsi"/>
            <w:iCs/>
            <w:sz w:val="16"/>
          </w:rPr>
          <w:t>https://www.tomtom.com/traffic-index/country/malta.</w:t>
        </w:r>
      </w:hyperlink>
      <w:r>
        <w:rPr>
          <w:rFonts w:asciiTheme="minorHAnsi" w:hAnsiTheme="minorHAnsi"/>
          <w:iCs/>
          <w:sz w:val="16"/>
        </w:rPr>
        <w:t xml:space="preserve"> [Accessed: 11-May-2026].</w:t>
      </w:r>
    </w:p>
    <w:p w14:paraId="7F2568BC"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National Statistics Office Malta, “Vehicle registrations and traffic statistics,” NSO Malta, Valletta, Malta, 2024.</w:t>
      </w:r>
    </w:p>
    <w:p w14:paraId="1C386C53"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Zulkarnain and T. D. Putri, “Intelligent transportation systems (ITS): A systematic review using a natural language processing (NLP) approach,” Heliyon, vol. 7, no. 12, Art. no. e08615, Dec. 2021, doi: 10.1016/j.heliyon.2021.e08615.</w:t>
      </w:r>
    </w:p>
    <w:p w14:paraId="56862829"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C. Chen, H. Wei, N. Xu, G. Zheng, M. Yang, Y. Xiong, K. Xu, and Z. Li, “Toward a thousand lights: Decentralized deep reinforcement learning for large-scale traffic signal control,” in Proc. AAAI Conf. Artificial Intelligence, vol. 34, no. 4, 2020, pp. 3414–3421, doi: 10.1609/aaai.v34i04.5744.</w:t>
      </w:r>
    </w:p>
    <w:p w14:paraId="33A6269C"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J. Ault and G. Sharon, “Reinforcement learning benchmarks for traffic signal control,” in Proc. Neural Information Processing Systems Track on Datasets and Benchmarks, 2021.</w:t>
      </w:r>
    </w:p>
    <w:p w14:paraId="745486DB"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R. S. Sutton and A. G. Barto, Reinforcement Learning: An Introduction, 2nd ed. Cambridge, MA, USA: MIT Press, 2018.</w:t>
      </w:r>
    </w:p>
    <w:p w14:paraId="48829DDD"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V. Mnih et al., “Asynchronous methods for deep reinforcement learning,” in Proc. 33rd Int. Conf. Machine Learning (ICML), PMLR vol. 48, 2016, pp. 1928–1937.</w:t>
      </w:r>
    </w:p>
    <w:p w14:paraId="50A3A447" w14:textId="77777777" w:rsidR="007A5790" w:rsidRPr="00C042E8" w:rsidRDefault="00000000">
      <w:pPr>
        <w:numPr>
          <w:ilvl w:val="0"/>
          <w:numId w:val="2"/>
        </w:numPr>
        <w:spacing w:after="12" w:line="235" w:lineRule="auto"/>
        <w:ind w:right="-15" w:hanging="285"/>
        <w:rPr>
          <w:rFonts w:asciiTheme="minorHAnsi" w:hAnsiTheme="minorHAnsi"/>
        </w:rPr>
      </w:pPr>
      <w:r>
        <w:rPr>
          <w:rFonts w:asciiTheme="minorHAnsi" w:hAnsiTheme="minorHAnsi"/>
          <w:sz w:val="16"/>
        </w:rPr>
        <w:t xml:space="preserve">T. Chu, J. Wang, L. Codecà, and Z. Li, “Multi-agent deep reinforcement learning for large-scale traffic signal control,” </w:t>
      </w:r>
      <w:r>
        <w:rPr>
          <w:rFonts w:asciiTheme="minorHAnsi" w:hAnsiTheme="minorHAnsi"/>
          <w:i/>
          <w:sz w:val="16"/>
        </w:rPr>
        <w:t>IEEE Transactions on Intelligent Transportation Systems</w:t>
      </w:r>
      <w:r>
        <w:rPr>
          <w:rFonts w:asciiTheme="minorHAnsi" w:hAnsiTheme="minorHAnsi"/>
          <w:sz w:val="16"/>
        </w:rPr>
        <w:t xml:space="preserve">, vol. 21, no. 3, pp. 1086–1095, Mar. 2020. DOI: </w:t>
      </w:r>
      <w:hyperlink r:id="rId9">
        <w:r>
          <w:rPr>
            <w:rFonts w:asciiTheme="minorHAnsi" w:hAnsiTheme="minorHAnsi"/>
            <w:sz w:val="16"/>
          </w:rPr>
          <w:t>https://doi.org/10.1109/TITS.2019.2901791</w:t>
        </w:r>
      </w:hyperlink>
    </w:p>
    <w:p w14:paraId="6C135148"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H. Wei, G. Zheng, H. Yao, and Z. Li, “IntelliLight: A reinforcement learning approach for intelligent traffic light control,” in Proc. 24th ACM SIGKDD Int. Conf. Knowledge Discovery &amp; Data Mining, 2018, pp. 2496–2505, doi: 10.1145/3219819.3220096.</w:t>
      </w:r>
    </w:p>
    <w:p w14:paraId="4E282114"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H. Wei, C. Chen, G. Zheng, K. Wu, V. Gayah, K. Xu, and Z. Li, “PressLight: Learning max pressure control to coordinate traffic signals in arterial network,” in Proc. 25th ACM SIGKDD Int. Conf. Knowledge Discovery &amp; Data Mining, 2019, pp. 1290–1298, doi: 10.1145/3292500.3330949.</w:t>
      </w:r>
    </w:p>
    <w:p w14:paraId="21DCA608"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P. Varaiya, “Max pressure control of a network of signalized intersections,” Transportation Research Part C: Emerging Technologies, vol. 36, pp. 177–195, 2013, doi: 10.1016/j.trc.2013.08.014.</w:t>
      </w:r>
    </w:p>
    <w:p w14:paraId="209C3E46"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P. Veličković, G. Cucurull, A. Casanova, A. Romero, P. Liò, and Y. Bengio, “Graph attention networks,” in Proc. 6th Int. Conf. Learning Representations (ICLR), 2018.</w:t>
      </w:r>
    </w:p>
    <w:p w14:paraId="353675C1"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H. Wei et al., “CoLight: Learning network-level cooperation for traffic signal control,” in Proc. 28th ACM Int. Conf. Information and Knowledge Management (CIKM), 2019, pp. 1913–1922, doi: 10.1145/3357384.3357902.</w:t>
      </w:r>
    </w:p>
    <w:p w14:paraId="7AA46C37"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F. V. Webster, “Traffic signal settings,” Road Research Laboratory, HMSO, London, U.K., Road Research Technical Paper No. 39, 1958.</w:t>
      </w:r>
    </w:p>
    <w:p w14:paraId="4B33F2C6"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H. Wei et al., “Recent advances in reinforcement learning for traffic signal control: A survey of models and evaluation,” ACM SIGKDD Explorations Newsletter, vol. 22, no. 2, 2021, doi: 10.1145/3447556.3447565.</w:t>
      </w:r>
    </w:p>
    <w:p w14:paraId="31284499"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A. Haydari and Y. Yılmaz, “Deep reinforcement learning for intelligent transportation systems: A survey,” IEEE Transactions on Intelligent Transportation Systems, vol. 23, no. 1, pp. 11–32, 2022.</w:t>
      </w:r>
    </w:p>
    <w:p w14:paraId="1D0C53B5"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M. Noaeen, A. Naik, L. Goodman, J. Crebo, T. Abrar, Z. S. H. Abad, A. L. C. Bazzan, and B. Far, “Reinforcement learning in urban network traffic signal control: A systematic literature review,” Expert Systems with Applications, vol. 199, Art. no. 116830, 2022, doi: 10.1016/j.eswa.2022.116830.</w:t>
      </w:r>
    </w:p>
    <w:p w14:paraId="45C1591F"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R. Du, S. Chen, J. Dong, T. Chen, X. Fu, and S. Labi, “Dynamic urban traffic rerouting with fog-cloud reinforcement learning,” Computer-Aided Civil and Infrastructure Engineering, vol. 39, no. 6, pp. 793–813, 2024, doi: 10.1111/mice.13115.</w:t>
      </w:r>
    </w:p>
    <w:p w14:paraId="356249BB"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C. Wang, T. Atkison, and H. Park, “Dynamic adaptive vehicle re-routing strategy for traffic congestion mitigation of grid network,” International Journal of Transportation Science and Technology, vol. 14, pp. 120–136, 2024, doi: 10.1016/j.ijtst.2023.04.003.</w:t>
      </w:r>
    </w:p>
    <w:p w14:paraId="62C77925"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J. G. Wardrop, “Some theoretical aspects of road traffic research,” Proceedings of the Institution of Civil Engineers, vol. 1, no. 3, pp. 325–362, 1952, doi: 10.1680/ipeds.1952.11259.</w:t>
      </w:r>
    </w:p>
    <w:p w14:paraId="5BA69A90"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D. Braess, A. Nagurney, and T. Wakolbinger, “On a paradox of traffic planning,” Transportation Science, vol. 39, no. 4, pp. 446–450, 2005.</w:t>
      </w:r>
    </w:p>
    <w:p w14:paraId="2C35F6D6"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T. Roughgarden and É. Tardos, “How bad is selfish routing?,” Journal of the ACM, vol. 49, no. 2, pp. 236–259, 2002, doi: 10.1145/506147.506153.</w:t>
      </w:r>
    </w:p>
    <w:p w14:paraId="555FA49F"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J. Thai, N. Laurent-Brouty, and A. M. Bayen, “Negative externalities of GPS-enabled routing applications: A game theoretical approach,” in Proc. IEEE 19th Int. Conf. Intelligent Transportation Systems (ITSC), Rio de Janeiro, Brazil, 2016, pp. 595–601, doi: 10.1109/ITSC.2016.7795614.</w:t>
      </w:r>
    </w:p>
    <w:p w14:paraId="1DB43C56"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H. S. Mahmassani and R. Jayakrishnan, “System performance and user response under real-time information in a congested traffic corridor,” Transportation Research Part A: General, vol. 25, no. 5, pp. 293–307, 1991, doi: 10.1016/0191-2607(91)90145-G.</w:t>
      </w:r>
    </w:p>
    <w:p w14:paraId="3DBE1FAE"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Z. Liu, J. Guo, L. Chen, Y. Wei, W. Huang, and J. Cao, “Effect of dynamic route guidance on urban traffic network under connected vehicle environment,” European Journal of Transport and Infrastructure Research, vol. 19, no. 2, pp. 142–159, 2019, doi: 10.18757/ejtir.2019.19.2.4380.</w:t>
      </w:r>
    </w:p>
    <w:p w14:paraId="5900A4FC"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S. C. Calvert, B. D. van den Burg, and H. Taale, “Impact of stakeholder cooperation for centralized route guidance and full automated vehicle compliance,” European Journal of Transport and Infrastructure Research, vol. 25, no. 2, pp. 59–81, 2025, doi: 10.59490/ejtir.2025.25.2.7194.</w:t>
      </w:r>
    </w:p>
    <w:p w14:paraId="2817C75D"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S. Hochreiter and J. Schmidhuber, “Long short-term memory,” Neural Computation, vol. 9, no. 8, pp. 1735–1780, 1997, doi: 10.1162/neco.1997.9.8.1735.</w:t>
      </w:r>
    </w:p>
    <w:p w14:paraId="697985A5"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R. Lowe, Y. Wu, A. Tamar, J. Harb, P. Abbeel, and I. Mordatch, “Multi-agent actor-critic for mixed cooperative-competitive environments,” in Advances in Neural Information Processing Systems, vol. 30, 2017.</w:t>
      </w:r>
    </w:p>
    <w:p w14:paraId="103C0C13"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X. Peng, H. Gao, G. Han, H. Wang, and M. Zhang, “Joint optimization of traffic signal control and vehicle routing in signalized road networks using multi-agent deep reinforcement learning,” arXiv:2310.10856, 2023.</w:t>
      </w:r>
    </w:p>
    <w:p w14:paraId="30E21DEC" w14:textId="77777777" w:rsidR="007A5790" w:rsidRPr="00C042E8" w:rsidRDefault="00000000">
      <w:pPr>
        <w:numPr>
          <w:ilvl w:val="0"/>
          <w:numId w:val="2"/>
        </w:numPr>
        <w:spacing w:after="12" w:line="235" w:lineRule="auto"/>
        <w:ind w:right="-15" w:hanging="285"/>
        <w:rPr>
          <w:rFonts w:asciiTheme="minorHAnsi" w:hAnsiTheme="minorHAnsi"/>
        </w:rPr>
      </w:pPr>
      <w:r>
        <w:rPr>
          <w:rFonts w:asciiTheme="minorHAnsi" w:hAnsiTheme="minorHAnsi"/>
          <w:sz w:val="16"/>
        </w:rPr>
        <w:t xml:space="preserve">P. A. Lopez </w:t>
      </w:r>
      <w:r>
        <w:rPr>
          <w:rFonts w:asciiTheme="minorHAnsi" w:hAnsiTheme="minorHAnsi"/>
          <w:i/>
          <w:sz w:val="16"/>
        </w:rPr>
        <w:t>et al.</w:t>
      </w:r>
      <w:r>
        <w:rPr>
          <w:rFonts w:asciiTheme="minorHAnsi" w:hAnsiTheme="minorHAnsi"/>
          <w:sz w:val="16"/>
        </w:rPr>
        <w:t xml:space="preserve">, “Microscopic traffic simulation using SUMO,” in </w:t>
      </w:r>
      <w:r>
        <w:rPr>
          <w:rFonts w:asciiTheme="minorHAnsi" w:hAnsiTheme="minorHAnsi"/>
          <w:i/>
          <w:sz w:val="16"/>
        </w:rPr>
        <w:t>Proc. IEEE Int. Conf. Intelligent Transportation Systems (ITSC)</w:t>
      </w:r>
      <w:r>
        <w:rPr>
          <w:rFonts w:asciiTheme="minorHAnsi" w:hAnsiTheme="minorHAnsi"/>
          <w:sz w:val="16"/>
        </w:rPr>
        <w:t>, Maui, HI, USA, 2018, pp. 2575–2582.</w:t>
      </w:r>
    </w:p>
    <w:p w14:paraId="538FF998"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M. Haklay, “How good is volunteered geographical information? A comparative study of OpenStreetMap and Ordnance Survey datasets,” Environment and Planning B: Planning and Design, vol. 37, no. 4, pp. 682–703, 2010, doi: 10.1068/b35097.</w:t>
      </w:r>
    </w:p>
    <w:p w14:paraId="4C06141C"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P. Henderson, R. Islam, P. Bachman, J. Pineau, D. Precup, and D. Meger, “Deep reinforcement learning that matters,” in Proc. AAAI Conf. Artificial Intelligence, vol. 32, no. 1, 2018, pp. 3207–3214, doi: 10.1609/aaai.v32i1.11694.</w:t>
      </w:r>
    </w:p>
    <w:p w14:paraId="2F6201D2"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R. Agarwal, M. Schwarzer, P. S. Castro, A. Courville, and M. G. Bellemare, “Deep reinforcement learning at the edge of the statistical precipice,” in Advances in Neural Information Processing Systems, vol. 34, 2021, pp. 29304–29320.</w:t>
      </w:r>
    </w:p>
    <w:p w14:paraId="13BC115D"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OpenStreetMap contributors, “OpenStreetMap,” Open Data Commons Open Database License (ODbL) v1.0. [Online]. Available: https://www.openstreetmap.org/copyright. [Accessed: 04-Sep-2026].</w:t>
      </w:r>
    </w:p>
    <w:p w14:paraId="84FC9254"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E. Schade, G.-L. Savino, Y. Gunal, and J. Schöning, “Traffic jam by GPS: A systematic analysis of the negative social externalities of large-scale navigation technologies,” PLOS ONE, vol. 19, no. 8, p. e0308260, Aug. 2024.</w:t>
      </w:r>
    </w:p>
    <w:p w14:paraId="7C76D732"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U. Siddique, P. Li, and Y. Cao, “Fair multi-agent reinforcement learning for traffic control,” ACM Journal on Autonomous Transportation Systems, vol. 3, no. 2, Art. no. 11, 2025, doi: 10.1145/3749378.</w:t>
      </w:r>
    </w:p>
    <w:p w14:paraId="1C758C2A"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M. Attard, “Mobility justice in urban transport – the case of Malta,” Transportation Research Procedia, vol. 45, pp. 352–359, 2020, doi: 10.1016/j.trpro.2020.03.026.</w:t>
      </w:r>
    </w:p>
    <w:sectPr w:rsidR="007A5790" w:rsidRPr="00C042E8">
      <w:type w:val="continuous"/>
      <w:pgSz w:w="12240" w:h="15840"/>
      <w:pgMar w:top="1043" w:right="979" w:bottom="1468" w:left="979" w:header="720" w:footer="720" w:gutter="0"/>
      <w:cols w:num="2" w:space="23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93C26"/>
    <w:multiLevelType w:val="hybridMultilevel"/>
    <w:tmpl w:val="78667C04"/>
    <w:lvl w:ilvl="0" w:tplc="47FAA3FA">
      <w:start w:val="1"/>
      <w:numFmt w:val="decimal"/>
      <w:lvlText w:val="[%1]"/>
      <w:lvlJc w:val="left"/>
      <w:pPr>
        <w:ind w:left="35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27B83CD4">
      <w:start w:val="1"/>
      <w:numFmt w:val="lowerLetter"/>
      <w:lvlText w:val="%2"/>
      <w:lvlJc w:val="left"/>
      <w:pPr>
        <w:ind w:left="11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202ED1C0">
      <w:start w:val="1"/>
      <w:numFmt w:val="lowerRoman"/>
      <w:lvlText w:val="%3"/>
      <w:lvlJc w:val="left"/>
      <w:pPr>
        <w:ind w:left="18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2BFE2510">
      <w:start w:val="1"/>
      <w:numFmt w:val="decimal"/>
      <w:lvlText w:val="%4"/>
      <w:lvlJc w:val="left"/>
      <w:pPr>
        <w:ind w:left="26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4E3A7CD2">
      <w:start w:val="1"/>
      <w:numFmt w:val="lowerLetter"/>
      <w:lvlText w:val="%5"/>
      <w:lvlJc w:val="left"/>
      <w:pPr>
        <w:ind w:left="33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2C52D182">
      <w:start w:val="1"/>
      <w:numFmt w:val="lowerRoman"/>
      <w:lvlText w:val="%6"/>
      <w:lvlJc w:val="left"/>
      <w:pPr>
        <w:ind w:left="40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E13A1182">
      <w:start w:val="1"/>
      <w:numFmt w:val="decimal"/>
      <w:lvlText w:val="%7"/>
      <w:lvlJc w:val="left"/>
      <w:pPr>
        <w:ind w:left="47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ADAAE08">
      <w:start w:val="1"/>
      <w:numFmt w:val="lowerLetter"/>
      <w:lvlText w:val="%8"/>
      <w:lvlJc w:val="left"/>
      <w:pPr>
        <w:ind w:left="54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E834A0F8">
      <w:start w:val="1"/>
      <w:numFmt w:val="lowerRoman"/>
      <w:lvlText w:val="%9"/>
      <w:lvlJc w:val="left"/>
      <w:pPr>
        <w:ind w:left="62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39345211"/>
    <w:multiLevelType w:val="hybridMultilevel"/>
    <w:tmpl w:val="B0FEB02E"/>
    <w:lvl w:ilvl="0" w:tplc="DB4EC1A0">
      <w:start w:val="1"/>
      <w:numFmt w:val="upperLetter"/>
      <w:lvlText w:val="%1."/>
      <w:lvlJc w:val="left"/>
      <w:pPr>
        <w:ind w:left="345" w:hanging="360"/>
      </w:pPr>
      <w:rPr>
        <w:rFonts w:hint="default"/>
      </w:rPr>
    </w:lvl>
    <w:lvl w:ilvl="1" w:tplc="08090019" w:tentative="1">
      <w:start w:val="1"/>
      <w:numFmt w:val="lowerLetter"/>
      <w:lvlText w:val="%2."/>
      <w:lvlJc w:val="left"/>
      <w:pPr>
        <w:ind w:left="1065" w:hanging="360"/>
      </w:pPr>
    </w:lvl>
    <w:lvl w:ilvl="2" w:tplc="0809001B" w:tentative="1">
      <w:start w:val="1"/>
      <w:numFmt w:val="lowerRoman"/>
      <w:lvlText w:val="%3."/>
      <w:lvlJc w:val="right"/>
      <w:pPr>
        <w:ind w:left="1785" w:hanging="180"/>
      </w:pPr>
    </w:lvl>
    <w:lvl w:ilvl="3" w:tplc="0809000F" w:tentative="1">
      <w:start w:val="1"/>
      <w:numFmt w:val="decimal"/>
      <w:lvlText w:val="%4."/>
      <w:lvlJc w:val="left"/>
      <w:pPr>
        <w:ind w:left="2505" w:hanging="360"/>
      </w:pPr>
    </w:lvl>
    <w:lvl w:ilvl="4" w:tplc="08090019" w:tentative="1">
      <w:start w:val="1"/>
      <w:numFmt w:val="lowerLetter"/>
      <w:lvlText w:val="%5."/>
      <w:lvlJc w:val="left"/>
      <w:pPr>
        <w:ind w:left="3225" w:hanging="360"/>
      </w:pPr>
    </w:lvl>
    <w:lvl w:ilvl="5" w:tplc="0809001B" w:tentative="1">
      <w:start w:val="1"/>
      <w:numFmt w:val="lowerRoman"/>
      <w:lvlText w:val="%6."/>
      <w:lvlJc w:val="right"/>
      <w:pPr>
        <w:ind w:left="3945" w:hanging="180"/>
      </w:pPr>
    </w:lvl>
    <w:lvl w:ilvl="6" w:tplc="0809000F" w:tentative="1">
      <w:start w:val="1"/>
      <w:numFmt w:val="decimal"/>
      <w:lvlText w:val="%7."/>
      <w:lvlJc w:val="left"/>
      <w:pPr>
        <w:ind w:left="4665" w:hanging="360"/>
      </w:pPr>
    </w:lvl>
    <w:lvl w:ilvl="7" w:tplc="08090019" w:tentative="1">
      <w:start w:val="1"/>
      <w:numFmt w:val="lowerLetter"/>
      <w:lvlText w:val="%8."/>
      <w:lvlJc w:val="left"/>
      <w:pPr>
        <w:ind w:left="5385" w:hanging="360"/>
      </w:pPr>
    </w:lvl>
    <w:lvl w:ilvl="8" w:tplc="0809001B" w:tentative="1">
      <w:start w:val="1"/>
      <w:numFmt w:val="lowerRoman"/>
      <w:lvlText w:val="%9."/>
      <w:lvlJc w:val="right"/>
      <w:pPr>
        <w:ind w:left="6105" w:hanging="180"/>
      </w:pPr>
    </w:lvl>
  </w:abstractNum>
  <w:abstractNum w:abstractNumId="2" w15:restartNumberingAfterBreak="0">
    <w:nsid w:val="7FDF5A85"/>
    <w:multiLevelType w:val="hybridMultilevel"/>
    <w:tmpl w:val="9FC02E1A"/>
    <w:lvl w:ilvl="0" w:tplc="03F4FEC6">
      <w:start w:val="1"/>
      <w:numFmt w:val="bullet"/>
      <w:lvlText w:val="•"/>
      <w:lvlJc w:val="left"/>
      <w:pPr>
        <w:ind w:left="40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74963510">
      <w:start w:val="1"/>
      <w:numFmt w:val="bullet"/>
      <w:lvlText w:val="o"/>
      <w:lvlJc w:val="left"/>
      <w:pPr>
        <w:ind w:left="127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039E1958">
      <w:start w:val="1"/>
      <w:numFmt w:val="bullet"/>
      <w:lvlText w:val="▪"/>
      <w:lvlJc w:val="left"/>
      <w:pPr>
        <w:ind w:left="199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8B6C323C">
      <w:start w:val="1"/>
      <w:numFmt w:val="bullet"/>
      <w:lvlText w:val="•"/>
      <w:lvlJc w:val="left"/>
      <w:pPr>
        <w:ind w:left="271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AFC21FAA">
      <w:start w:val="1"/>
      <w:numFmt w:val="bullet"/>
      <w:lvlText w:val="o"/>
      <w:lvlJc w:val="left"/>
      <w:pPr>
        <w:ind w:left="343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476C464E">
      <w:start w:val="1"/>
      <w:numFmt w:val="bullet"/>
      <w:lvlText w:val="▪"/>
      <w:lvlJc w:val="left"/>
      <w:pPr>
        <w:ind w:left="415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89C609EE">
      <w:start w:val="1"/>
      <w:numFmt w:val="bullet"/>
      <w:lvlText w:val="•"/>
      <w:lvlJc w:val="left"/>
      <w:pPr>
        <w:ind w:left="487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D4E036C">
      <w:start w:val="1"/>
      <w:numFmt w:val="bullet"/>
      <w:lvlText w:val="o"/>
      <w:lvlJc w:val="left"/>
      <w:pPr>
        <w:ind w:left="559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C28AA8F6">
      <w:start w:val="1"/>
      <w:numFmt w:val="bullet"/>
      <w:lvlText w:val="▪"/>
      <w:lvlJc w:val="left"/>
      <w:pPr>
        <w:ind w:left="631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num w:numId="1" w16cid:durableId="890382604">
    <w:abstractNumId w:val="2"/>
  </w:num>
  <w:num w:numId="2" w16cid:durableId="1578976233">
    <w:abstractNumId w:val="0"/>
  </w:num>
  <w:num w:numId="3" w16cid:durableId="1967545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5790"/>
    <w:rsid w:val="000C6C72"/>
    <w:rsid w:val="00120777"/>
    <w:rsid w:val="001A471D"/>
    <w:rsid w:val="002650C5"/>
    <w:rsid w:val="002B1929"/>
    <w:rsid w:val="004C0574"/>
    <w:rsid w:val="004C1EDE"/>
    <w:rsid w:val="004E3970"/>
    <w:rsid w:val="00574C3A"/>
    <w:rsid w:val="006B42E1"/>
    <w:rsid w:val="006F626A"/>
    <w:rsid w:val="00744985"/>
    <w:rsid w:val="007A5790"/>
    <w:rsid w:val="008B6427"/>
    <w:rsid w:val="009133C6"/>
    <w:rsid w:val="009358DD"/>
    <w:rsid w:val="009601C5"/>
    <w:rsid w:val="00A31DAB"/>
    <w:rsid w:val="00AC0F51"/>
    <w:rsid w:val="00C042E8"/>
    <w:rsid w:val="00CC69C3"/>
    <w:rsid w:val="00F240FD"/>
    <w:rsid w:val="00FE44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9BA57"/>
  <w15:docId w15:val="{895AA0FE-A24C-47CC-948A-28795810F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 w:line="248" w:lineRule="auto"/>
      <w:ind w:left="70" w:firstLine="189"/>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90" w:line="248" w:lineRule="auto"/>
      <w:ind w:left="10" w:hanging="10"/>
      <w:outlineLvl w:val="0"/>
    </w:pPr>
    <w:rPr>
      <w:rFonts w:ascii="Calibri" w:eastAsia="Calibri" w:hAnsi="Calibri" w:cs="Calibri"/>
      <w:i/>
      <w:color w:val="00000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yperlink" Target="https://doi.org/10.1016/j.trip.2023.100786" TargetMode="External"/><Relationship Id="rId3" Type="http://schemas.openxmlformats.org/officeDocument/2006/relationships/settings" Target="settings.xml"/><Relationship Id="rId7" Type="http://schemas.openxmlformats.org/officeDocument/2006/relationships/hyperlink" Target="https://doi.org/10.1111/mice.1311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8695271" TargetMode="External"/><Relationship Id="rId11" Type="http://schemas.openxmlformats.org/officeDocument/2006/relationships/theme" Target="theme/theme1.xml"/><Relationship Id="rId5" Type="http://schemas.openxmlformats.org/officeDocument/2006/relationships/hyperlink" Target="https://www.tomtom.com/traffic-index/country/malta"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109/TITS.2019.2901791" TargetMode="Externa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2682</Words>
  <Characters>15293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Austin</dc:creator>
  <cp:keywords/>
  <cp:lastModifiedBy>Kyle Austin</cp:lastModifiedBy>
  <cp:revision>25</cp:revision>
  <dcterms:created xsi:type="dcterms:W3CDTF">2026-05-18T18:06:00Z</dcterms:created>
  <dcterms:modified xsi:type="dcterms:W3CDTF">2026-05-21T13:55:00Z</dcterms:modified>
</cp:coreProperties>
</file>