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2025/04/13 22:27:00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2025/04/13  22:23:39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2025/04/13  22:27:00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- 64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t>No BERT Result Summary data available.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t>No BERT Statistics data available.</w:t>
      </w:r>
    </w:p>
    <w:p>
      <w:r>
        <w:br w:type="page"/>
      </w:r>
    </w:p>
    <w:p>
      <w:pPr>
        <w:pStyle w:val="Heading1"/>
      </w:pPr>
      <w:r>
        <w:t>FEC Result Summary - 64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- 64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5197.0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3.056758e-09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4.443333e-11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1.718089e-11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4.739555e-12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1.777333e-12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2.902977e-11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1.836578e-11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1.764033e-12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9.466978e-11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6.644525e-11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5.292099e-12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5.880110e-12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5.292099e-12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7.056132e-12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5.880110e-13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7.585342e-10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2376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1.397114e-09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1.470028e-10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1.934556e-10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6.762127e-11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3.586867e-11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8.232154e-12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1.176022e-12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6.997331e-11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3.469265e-11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1.234823e-11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7.056132e-12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1.352425e-11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7.644143e-12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32195.0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1.877090e-08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3.384193e-11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3.034104e-11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5.834816e-13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5.834816e-13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6.184905e-11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4.609504e-11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1.166963e-12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2.333926e-12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2.503136e-10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1.301164e-10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4.259415e-11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3.209149e-11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4.084371e-12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1.867141e-11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10788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6.294599e-09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9825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5.732706e-09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3167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1.847886e-09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2908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1.696764e-09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1204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7.025118e-10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1407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8.146365e-10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1.059549e-10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1.557479e-10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3.549198e-10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2.020669e-10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5.905681e-11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5.442490e-11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6.368871e-11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2.200156e-11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7.526848e-12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1.736965e-12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143668363478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143668363478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00:01:00.336276105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00:01:00.345149224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71828900120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71839463358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71828900120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71839463358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36776396861440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36781805239296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36781805239296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36776396861440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31469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31424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9886937632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9886650384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9.519393e-11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5.851064e-10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9886932516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9886618960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31379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48269020880640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48276119376576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48276119376576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48269020880640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2220875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85897121934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25693667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2220886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85897121946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