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00:30:42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00:30:42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00:30:42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p>
      <w:r>
        <w:br w:type="page"/>
      </w:r>
    </w:p>
    <w:p>
      <w:pPr>
        <w:pStyle w:val="Heading1"/>
      </w:pPr>
      <w:r>
        <w:t>CMIS Applicatio Select</w:t>
      </w:r>
    </w:p>
    <w:p>
      <w:r>
        <w:t>No CMIS Applicatio Select data available.</w:t>
      </w:r>
    </w:p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