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60D2" w14:textId="77777777" w:rsidR="00D251EA" w:rsidRPr="00E94F89" w:rsidRDefault="00D251EA" w:rsidP="00D251EA">
      <w:pPr>
        <w:spacing w:after="0" w:line="240" w:lineRule="auto"/>
        <w:jc w:val="center"/>
        <w:rPr>
          <w:rFonts w:ascii="Garamond" w:hAnsi="Garamond"/>
          <w:b/>
          <w:bCs/>
        </w:rPr>
      </w:pPr>
      <w:proofErr w:type="gramStart"/>
      <w:r w:rsidRPr="00E94F89">
        <w:rPr>
          <w:rFonts w:ascii="Garamond" w:hAnsi="Garamond"/>
          <w:b/>
          <w:bCs/>
        </w:rPr>
        <w:t>Misappropriating</w:t>
      </w:r>
      <w:proofErr w:type="gramEnd"/>
      <w:r w:rsidRPr="00E94F89">
        <w:rPr>
          <w:rFonts w:ascii="Garamond" w:hAnsi="Garamond"/>
          <w:b/>
          <w:bCs/>
        </w:rPr>
        <w:t xml:space="preserve"> Vulnerability:</w:t>
      </w:r>
    </w:p>
    <w:p w14:paraId="06C53162" w14:textId="77777777" w:rsidR="00D251EA" w:rsidRPr="00E94F89" w:rsidRDefault="00D251EA" w:rsidP="00D251EA">
      <w:pPr>
        <w:spacing w:after="0" w:line="240" w:lineRule="auto"/>
        <w:jc w:val="center"/>
        <w:rPr>
          <w:rFonts w:ascii="Garamond" w:hAnsi="Garamond"/>
          <w:b/>
          <w:bCs/>
        </w:rPr>
      </w:pPr>
      <w:r w:rsidRPr="00E94F89">
        <w:rPr>
          <w:rFonts w:ascii="Garamond" w:hAnsi="Garamond"/>
          <w:b/>
          <w:bCs/>
        </w:rPr>
        <w:t>Assessing the Utility of the Social Vulnerability Index as a Predictor of Firearm Violence</w:t>
      </w:r>
    </w:p>
    <w:p w14:paraId="56042EF4" w14:textId="77777777" w:rsidR="00D251EA" w:rsidRPr="00E94F89" w:rsidRDefault="00D251EA" w:rsidP="00D251EA">
      <w:pPr>
        <w:spacing w:after="0" w:line="240" w:lineRule="auto"/>
        <w:jc w:val="center"/>
        <w:rPr>
          <w:rFonts w:ascii="Garamond" w:hAnsi="Garamond"/>
          <w:b/>
          <w:bCs/>
        </w:rPr>
      </w:pPr>
    </w:p>
    <w:p w14:paraId="798A22E0" w14:textId="77777777" w:rsidR="00D251EA" w:rsidRPr="00E94F89" w:rsidRDefault="00D251EA" w:rsidP="00D251EA">
      <w:pPr>
        <w:spacing w:after="0" w:line="240" w:lineRule="auto"/>
        <w:jc w:val="center"/>
        <w:rPr>
          <w:rFonts w:ascii="Garamond" w:hAnsi="Garamond"/>
        </w:rPr>
      </w:pPr>
      <w:r w:rsidRPr="00E94F89">
        <w:rPr>
          <w:rFonts w:ascii="Garamond" w:hAnsi="Garamond"/>
        </w:rPr>
        <w:t>Matt Vogel, Ph.D.*</w:t>
      </w:r>
    </w:p>
    <w:p w14:paraId="4368DC38" w14:textId="77777777" w:rsidR="00D251EA" w:rsidRPr="00E94F89" w:rsidRDefault="00D251EA" w:rsidP="00D251EA">
      <w:pPr>
        <w:spacing w:after="0" w:line="240" w:lineRule="auto"/>
        <w:jc w:val="center"/>
        <w:rPr>
          <w:rFonts w:ascii="Garamond" w:hAnsi="Garamond"/>
        </w:rPr>
      </w:pPr>
      <w:r w:rsidRPr="00E94F89">
        <w:rPr>
          <w:rFonts w:ascii="Garamond" w:hAnsi="Garamond"/>
        </w:rPr>
        <w:t>School of Criminal Justice</w:t>
      </w:r>
    </w:p>
    <w:p w14:paraId="28D5191A" w14:textId="77777777" w:rsidR="00D251EA" w:rsidRPr="00E94F89" w:rsidRDefault="00D251EA" w:rsidP="00D251EA">
      <w:pPr>
        <w:spacing w:after="0" w:line="240" w:lineRule="auto"/>
        <w:jc w:val="center"/>
        <w:rPr>
          <w:rFonts w:ascii="Garamond" w:hAnsi="Garamond"/>
        </w:rPr>
      </w:pPr>
      <w:r w:rsidRPr="00E94F89">
        <w:rPr>
          <w:rFonts w:ascii="Garamond" w:hAnsi="Garamond"/>
        </w:rPr>
        <w:t>University at Albany, SUNY</w:t>
      </w:r>
    </w:p>
    <w:p w14:paraId="1230BC3C" w14:textId="77777777" w:rsidR="00D251EA" w:rsidRPr="00E94F89" w:rsidRDefault="00D251EA" w:rsidP="00D251EA">
      <w:pPr>
        <w:spacing w:after="0" w:line="240" w:lineRule="auto"/>
        <w:jc w:val="center"/>
        <w:rPr>
          <w:rFonts w:ascii="Garamond" w:hAnsi="Garamond"/>
        </w:rPr>
      </w:pPr>
    </w:p>
    <w:p w14:paraId="72B20FB4" w14:textId="77777777" w:rsidR="00D251EA" w:rsidRPr="00E94F89" w:rsidRDefault="00D251EA" w:rsidP="00D251EA">
      <w:pPr>
        <w:spacing w:after="0" w:line="240" w:lineRule="auto"/>
        <w:jc w:val="center"/>
        <w:rPr>
          <w:rFonts w:ascii="Garamond" w:hAnsi="Garamond"/>
        </w:rPr>
      </w:pPr>
      <w:r w:rsidRPr="00E94F89">
        <w:rPr>
          <w:rFonts w:ascii="Garamond" w:hAnsi="Garamond"/>
        </w:rPr>
        <w:t>Heeyoung Lee, M.A.</w:t>
      </w:r>
    </w:p>
    <w:p w14:paraId="3411584A" w14:textId="77777777" w:rsidR="00D251EA" w:rsidRPr="00E94F89" w:rsidRDefault="00D251EA" w:rsidP="00D251EA">
      <w:pPr>
        <w:spacing w:after="0" w:line="240" w:lineRule="auto"/>
        <w:jc w:val="center"/>
        <w:rPr>
          <w:rFonts w:ascii="Garamond" w:hAnsi="Garamond"/>
        </w:rPr>
      </w:pPr>
      <w:r w:rsidRPr="00E94F89">
        <w:rPr>
          <w:rFonts w:ascii="Garamond" w:hAnsi="Garamond"/>
        </w:rPr>
        <w:t>Department of Sociology</w:t>
      </w:r>
    </w:p>
    <w:p w14:paraId="1874D7F1" w14:textId="77777777" w:rsidR="00D251EA" w:rsidRPr="00E94F89" w:rsidRDefault="00D251EA" w:rsidP="00D251EA">
      <w:pPr>
        <w:spacing w:after="0" w:line="240" w:lineRule="auto"/>
        <w:jc w:val="center"/>
        <w:rPr>
          <w:rFonts w:ascii="Garamond" w:hAnsi="Garamond"/>
        </w:rPr>
      </w:pPr>
      <w:r w:rsidRPr="00E94F89">
        <w:rPr>
          <w:rFonts w:ascii="Garamond" w:hAnsi="Garamond"/>
        </w:rPr>
        <w:t>University at Albany, SUNY</w:t>
      </w:r>
    </w:p>
    <w:p w14:paraId="558CEFD9" w14:textId="77777777" w:rsidR="00D251EA" w:rsidRPr="00E94F89" w:rsidRDefault="00D251EA" w:rsidP="00D251EA">
      <w:pPr>
        <w:spacing w:after="0" w:line="240" w:lineRule="auto"/>
        <w:jc w:val="center"/>
        <w:rPr>
          <w:rFonts w:ascii="Garamond" w:hAnsi="Garamond"/>
        </w:rPr>
      </w:pPr>
    </w:p>
    <w:p w14:paraId="1ADA339F" w14:textId="77777777" w:rsidR="00D251EA" w:rsidRPr="00E94F89" w:rsidRDefault="00D251EA" w:rsidP="00D251EA">
      <w:pPr>
        <w:spacing w:after="0" w:line="240" w:lineRule="auto"/>
        <w:jc w:val="center"/>
        <w:rPr>
          <w:rFonts w:ascii="Garamond" w:hAnsi="Garamond"/>
        </w:rPr>
      </w:pPr>
      <w:r w:rsidRPr="00E94F89">
        <w:rPr>
          <w:rFonts w:ascii="Garamond" w:hAnsi="Garamond"/>
        </w:rPr>
        <w:t>Taylor Kaser, M.P.H.</w:t>
      </w:r>
    </w:p>
    <w:p w14:paraId="3FFB21CB" w14:textId="77777777" w:rsidR="00D251EA" w:rsidRPr="00E94F89" w:rsidRDefault="00D251EA" w:rsidP="00D251EA">
      <w:pPr>
        <w:spacing w:after="0" w:line="240" w:lineRule="auto"/>
        <w:jc w:val="center"/>
        <w:rPr>
          <w:rFonts w:ascii="Garamond" w:hAnsi="Garamond"/>
        </w:rPr>
      </w:pPr>
      <w:r w:rsidRPr="00E94F89">
        <w:rPr>
          <w:rFonts w:ascii="Garamond" w:hAnsi="Garamond"/>
        </w:rPr>
        <w:t>Department of Emergency Medicine</w:t>
      </w:r>
    </w:p>
    <w:p w14:paraId="204C4A15" w14:textId="77777777" w:rsidR="00D251EA" w:rsidRPr="00E94F89" w:rsidRDefault="00D251EA" w:rsidP="00D251EA">
      <w:pPr>
        <w:spacing w:after="0" w:line="240" w:lineRule="auto"/>
        <w:jc w:val="center"/>
        <w:rPr>
          <w:rFonts w:ascii="Garamond" w:hAnsi="Garamond"/>
        </w:rPr>
      </w:pPr>
      <w:r w:rsidRPr="00E94F89">
        <w:rPr>
          <w:rFonts w:ascii="Garamond" w:hAnsi="Garamond"/>
        </w:rPr>
        <w:t>Washington University School of Medicine</w:t>
      </w:r>
    </w:p>
    <w:p w14:paraId="29C2B93C" w14:textId="77777777" w:rsidR="00D251EA" w:rsidRPr="00E94F89" w:rsidRDefault="00D251EA" w:rsidP="00D251EA">
      <w:pPr>
        <w:spacing w:after="0" w:line="240" w:lineRule="auto"/>
        <w:jc w:val="center"/>
        <w:rPr>
          <w:rFonts w:ascii="Garamond" w:hAnsi="Garamond"/>
        </w:rPr>
      </w:pPr>
    </w:p>
    <w:p w14:paraId="2E48EFB7" w14:textId="77777777" w:rsidR="00D251EA" w:rsidRPr="00E94F89" w:rsidRDefault="00D251EA" w:rsidP="00D251EA">
      <w:pPr>
        <w:spacing w:after="0" w:line="240" w:lineRule="auto"/>
        <w:jc w:val="center"/>
        <w:rPr>
          <w:rFonts w:ascii="Garamond" w:hAnsi="Garamond"/>
        </w:rPr>
      </w:pPr>
      <w:r w:rsidRPr="00E94F89">
        <w:rPr>
          <w:rFonts w:ascii="Garamond" w:hAnsi="Garamond"/>
        </w:rPr>
        <w:t>Yoobin Kim, M.A.</w:t>
      </w:r>
    </w:p>
    <w:p w14:paraId="3F210CCF" w14:textId="77777777" w:rsidR="00D251EA" w:rsidRPr="00E94F89" w:rsidRDefault="00D251EA" w:rsidP="00D251EA">
      <w:pPr>
        <w:spacing w:after="0" w:line="240" w:lineRule="auto"/>
        <w:jc w:val="center"/>
        <w:rPr>
          <w:rFonts w:ascii="Garamond" w:hAnsi="Garamond"/>
        </w:rPr>
      </w:pPr>
      <w:r w:rsidRPr="00E94F89">
        <w:rPr>
          <w:rFonts w:ascii="Garamond" w:hAnsi="Garamond"/>
        </w:rPr>
        <w:t>School of Criminal Justice</w:t>
      </w:r>
    </w:p>
    <w:p w14:paraId="71F5260E" w14:textId="77777777" w:rsidR="00D251EA" w:rsidRPr="00E94F89" w:rsidRDefault="00D251EA" w:rsidP="00D251EA">
      <w:pPr>
        <w:spacing w:after="0" w:line="240" w:lineRule="auto"/>
        <w:jc w:val="center"/>
        <w:rPr>
          <w:rFonts w:ascii="Garamond" w:hAnsi="Garamond"/>
        </w:rPr>
      </w:pPr>
      <w:r w:rsidRPr="00E94F89">
        <w:rPr>
          <w:rFonts w:ascii="Garamond" w:hAnsi="Garamond"/>
        </w:rPr>
        <w:t>University at Albany, SUNY</w:t>
      </w:r>
    </w:p>
    <w:p w14:paraId="64C1E484" w14:textId="77777777" w:rsidR="00D251EA" w:rsidRPr="00E94F89" w:rsidRDefault="00D251EA" w:rsidP="00D251EA">
      <w:pPr>
        <w:spacing w:after="0" w:line="240" w:lineRule="auto"/>
        <w:jc w:val="center"/>
        <w:rPr>
          <w:rFonts w:ascii="Garamond" w:hAnsi="Garamond"/>
        </w:rPr>
      </w:pPr>
    </w:p>
    <w:p w14:paraId="7D68787C" w14:textId="77777777" w:rsidR="00D251EA" w:rsidRPr="00E94F89" w:rsidRDefault="00D251EA" w:rsidP="00D251EA">
      <w:pPr>
        <w:spacing w:after="0" w:line="240" w:lineRule="auto"/>
        <w:rPr>
          <w:rFonts w:ascii="Garamond" w:hAnsi="Garamond"/>
        </w:rPr>
      </w:pPr>
      <w:r w:rsidRPr="00E94F89">
        <w:rPr>
          <w:rFonts w:ascii="Garamond" w:hAnsi="Garamond"/>
          <w:b/>
          <w:bCs/>
        </w:rPr>
        <w:t>Key Words</w:t>
      </w:r>
      <w:r w:rsidRPr="00E94F89">
        <w:rPr>
          <w:rFonts w:ascii="Garamond" w:hAnsi="Garamond"/>
        </w:rPr>
        <w:t>: Social Vulnerability; Firearm Violence; Concentrated Disadvantage</w:t>
      </w:r>
    </w:p>
    <w:p w14:paraId="2BE339C4" w14:textId="77777777" w:rsidR="00D251EA" w:rsidRPr="00E94F89" w:rsidRDefault="00D251EA" w:rsidP="00D251EA">
      <w:pPr>
        <w:spacing w:after="0" w:line="240" w:lineRule="auto"/>
        <w:rPr>
          <w:rFonts w:ascii="Garamond" w:hAnsi="Garamond"/>
        </w:rPr>
      </w:pPr>
    </w:p>
    <w:p w14:paraId="472BCC79" w14:textId="77777777" w:rsidR="00D251EA" w:rsidRPr="00E94F89" w:rsidRDefault="00D251EA" w:rsidP="00D251EA">
      <w:pPr>
        <w:spacing w:after="0" w:line="240" w:lineRule="auto"/>
        <w:rPr>
          <w:rFonts w:ascii="Garamond" w:hAnsi="Garamond"/>
        </w:rPr>
      </w:pPr>
    </w:p>
    <w:p w14:paraId="7650279A" w14:textId="351563E5" w:rsidR="00D251EA" w:rsidRPr="00E94F89" w:rsidRDefault="00D251EA" w:rsidP="00E45B36">
      <w:pPr>
        <w:jc w:val="both"/>
        <w:rPr>
          <w:rFonts w:ascii="Aptos Narrow" w:eastAsia="Times New Roman" w:hAnsi="Aptos Narrow" w:cs="Times New Roman"/>
          <w:color w:val="000000"/>
          <w:kern w:val="0"/>
          <w14:ligatures w14:val="none"/>
        </w:rPr>
      </w:pPr>
      <w:r w:rsidRPr="00E94F89">
        <w:rPr>
          <w:rFonts w:ascii="Garamond" w:hAnsi="Garamond"/>
          <w:b/>
          <w:bCs/>
        </w:rPr>
        <w:t xml:space="preserve">Acknowledgements: </w:t>
      </w:r>
      <w:r w:rsidRPr="00E94F89">
        <w:rPr>
          <w:rFonts w:ascii="Garamond" w:hAnsi="Garamond"/>
        </w:rPr>
        <w:t xml:space="preserve">We would like to thank Abigail </w:t>
      </w:r>
      <w:r w:rsidRPr="00E94F89">
        <w:rPr>
          <w:rFonts w:ascii="Garamond" w:eastAsia="Times New Roman" w:hAnsi="Garamond" w:cs="Times New Roman"/>
          <w:color w:val="000000"/>
          <w:kern w:val="0"/>
          <w14:ligatures w14:val="none"/>
        </w:rPr>
        <w:t>Verhayden for her</w:t>
      </w:r>
      <w:r>
        <w:rPr>
          <w:rFonts w:ascii="Garamond" w:eastAsia="Times New Roman" w:hAnsi="Garamond" w:cs="Times New Roman"/>
          <w:color w:val="000000"/>
          <w:kern w:val="0"/>
          <w14:ligatures w14:val="none"/>
        </w:rPr>
        <w:t xml:space="preserve"> invaluable</w:t>
      </w:r>
      <w:r w:rsidRPr="00E94F89">
        <w:rPr>
          <w:rFonts w:ascii="Garamond" w:eastAsia="Times New Roman" w:hAnsi="Garamond" w:cs="Times New Roman"/>
          <w:color w:val="000000"/>
          <w:kern w:val="0"/>
          <w14:ligatures w14:val="none"/>
        </w:rPr>
        <w:t xml:space="preserve"> research assistance during the spring of 2025. A</w:t>
      </w:r>
      <w:r w:rsidR="00E45B36">
        <w:rPr>
          <w:rFonts w:ascii="Garamond" w:eastAsia="Times New Roman" w:hAnsi="Garamond" w:cs="Times New Roman"/>
          <w:color w:val="000000"/>
          <w:kern w:val="0"/>
          <w14:ligatures w14:val="none"/>
        </w:rPr>
        <w:t xml:space="preserve">n earlier </w:t>
      </w:r>
      <w:r w:rsidRPr="00E94F89">
        <w:rPr>
          <w:rFonts w:ascii="Garamond" w:eastAsia="Times New Roman" w:hAnsi="Garamond" w:cs="Times New Roman"/>
          <w:color w:val="000000"/>
          <w:kern w:val="0"/>
          <w14:ligatures w14:val="none"/>
        </w:rPr>
        <w:t>version of this paper was presented as a poster at the 2025 University at Albany</w:t>
      </w:r>
      <w:r w:rsidR="0027639F">
        <w:rPr>
          <w:rFonts w:ascii="Garamond" w:eastAsia="Times New Roman" w:hAnsi="Garamond" w:cs="Times New Roman"/>
          <w:color w:val="000000"/>
          <w:kern w:val="0"/>
          <w14:ligatures w14:val="none"/>
        </w:rPr>
        <w:t xml:space="preserve"> </w:t>
      </w:r>
      <w:r w:rsidR="0027639F" w:rsidRPr="00E94F89">
        <w:rPr>
          <w:rFonts w:ascii="Garamond" w:eastAsia="Times New Roman" w:hAnsi="Garamond" w:cs="Times New Roman"/>
          <w:color w:val="000000"/>
          <w:kern w:val="0"/>
          <w14:ligatures w14:val="none"/>
        </w:rPr>
        <w:t>Showcas</w:t>
      </w:r>
      <w:r w:rsidR="0027639F">
        <w:rPr>
          <w:rFonts w:ascii="Garamond" w:eastAsia="Times New Roman" w:hAnsi="Garamond" w:cs="Times New Roman"/>
          <w:color w:val="000000"/>
          <w:kern w:val="0"/>
          <w14:ligatures w14:val="none"/>
        </w:rPr>
        <w:t>e</w:t>
      </w:r>
      <w:r w:rsidRPr="00E94F89">
        <w:rPr>
          <w:rFonts w:ascii="Garamond" w:eastAsia="Times New Roman" w:hAnsi="Garamond" w:cs="Times New Roman"/>
          <w:color w:val="000000"/>
          <w:kern w:val="0"/>
          <w14:ligatures w14:val="none"/>
        </w:rPr>
        <w:t xml:space="preserve">. </w:t>
      </w:r>
      <w:r>
        <w:rPr>
          <w:rFonts w:ascii="Garamond" w:eastAsia="Times New Roman" w:hAnsi="Garamond" w:cs="Times New Roman"/>
          <w:color w:val="000000"/>
          <w:kern w:val="0"/>
          <w14:ligatures w14:val="none"/>
        </w:rPr>
        <w:t xml:space="preserve">We are grateful to </w:t>
      </w:r>
      <w:r w:rsidRPr="00EE5E95">
        <w:rPr>
          <w:rFonts w:ascii="Garamond" w:eastAsia="Times New Roman" w:hAnsi="Garamond" w:cs="Times New Roman"/>
          <w:color w:val="000000"/>
          <w:kern w:val="0"/>
          <w14:ligatures w14:val="none"/>
        </w:rPr>
        <w:t>Karlijn Kuijpers</w:t>
      </w:r>
      <w:r w:rsidR="00EE5E95" w:rsidRPr="00EE5E95">
        <w:rPr>
          <w:rFonts w:ascii="Garamond" w:eastAsia="Times New Roman" w:hAnsi="Garamond" w:cs="Times New Roman"/>
          <w:color w:val="000000"/>
          <w:kern w:val="0"/>
          <w14:ligatures w14:val="none"/>
        </w:rPr>
        <w:t xml:space="preserve">, </w:t>
      </w:r>
      <w:r w:rsidR="00EE5E95" w:rsidRPr="00EE5E95">
        <w:rPr>
          <w:rFonts w:ascii="Garamond" w:hAnsi="Garamond" w:cs="Times New Roman"/>
        </w:rPr>
        <w:t>Saurav Guha</w:t>
      </w:r>
      <w:r w:rsidR="00EE5E95">
        <w:rPr>
          <w:rFonts w:ascii="Garamond" w:hAnsi="Garamond" w:cs="Times New Roman"/>
        </w:rPr>
        <w:t>, and the anonymous referees</w:t>
      </w:r>
      <w:r>
        <w:rPr>
          <w:rFonts w:ascii="Garamond" w:eastAsia="Times New Roman" w:hAnsi="Garamond" w:cs="Times New Roman"/>
          <w:color w:val="000000"/>
          <w:kern w:val="0"/>
          <w14:ligatures w14:val="none"/>
        </w:rPr>
        <w:t xml:space="preserve"> for helpful feedback on </w:t>
      </w:r>
      <w:r w:rsidR="00863D62">
        <w:rPr>
          <w:rFonts w:ascii="Garamond" w:eastAsia="Times New Roman" w:hAnsi="Garamond" w:cs="Times New Roman"/>
          <w:color w:val="000000"/>
          <w:kern w:val="0"/>
          <w14:ligatures w14:val="none"/>
        </w:rPr>
        <w:t>previous</w:t>
      </w:r>
      <w:r>
        <w:rPr>
          <w:rFonts w:ascii="Garamond" w:eastAsia="Times New Roman" w:hAnsi="Garamond" w:cs="Times New Roman"/>
          <w:color w:val="000000"/>
          <w:kern w:val="0"/>
          <w14:ligatures w14:val="none"/>
        </w:rPr>
        <w:t xml:space="preserve"> draft</w:t>
      </w:r>
      <w:r w:rsidR="00863D62">
        <w:rPr>
          <w:rFonts w:ascii="Garamond" w:eastAsia="Times New Roman" w:hAnsi="Garamond" w:cs="Times New Roman"/>
          <w:color w:val="000000"/>
          <w:kern w:val="0"/>
          <w14:ligatures w14:val="none"/>
        </w:rPr>
        <w:t>s</w:t>
      </w:r>
      <w:r>
        <w:rPr>
          <w:rFonts w:ascii="Garamond" w:eastAsia="Times New Roman" w:hAnsi="Garamond" w:cs="Times New Roman"/>
          <w:color w:val="000000"/>
          <w:kern w:val="0"/>
          <w14:ligatures w14:val="none"/>
        </w:rPr>
        <w:t xml:space="preserve"> on this manuscript. All errors and omissions remain our own. </w:t>
      </w:r>
    </w:p>
    <w:p w14:paraId="7C0C437D" w14:textId="77777777" w:rsidR="00D251EA" w:rsidRPr="00E94F89" w:rsidRDefault="00D251EA" w:rsidP="00D251EA">
      <w:pPr>
        <w:spacing w:after="0" w:line="240" w:lineRule="auto"/>
        <w:rPr>
          <w:rFonts w:ascii="Garamond" w:hAnsi="Garamond"/>
        </w:rPr>
      </w:pPr>
    </w:p>
    <w:p w14:paraId="7D861F0C" w14:textId="77777777" w:rsidR="00D251EA" w:rsidRPr="00E94F89" w:rsidRDefault="00D251EA" w:rsidP="00D251EA">
      <w:pPr>
        <w:spacing w:after="0" w:line="240" w:lineRule="auto"/>
        <w:rPr>
          <w:rFonts w:ascii="Garamond" w:hAnsi="Garamond"/>
        </w:rPr>
      </w:pPr>
    </w:p>
    <w:p w14:paraId="1D620D51" w14:textId="77777777" w:rsidR="00D251EA" w:rsidRPr="00E94F89" w:rsidRDefault="00D251EA" w:rsidP="00D251EA">
      <w:pPr>
        <w:spacing w:after="0" w:line="240" w:lineRule="auto"/>
        <w:rPr>
          <w:rFonts w:ascii="Garamond" w:hAnsi="Garamond"/>
        </w:rPr>
      </w:pPr>
    </w:p>
    <w:p w14:paraId="55A59CF0" w14:textId="06DB44CE" w:rsidR="00D251EA" w:rsidRPr="00E94F89" w:rsidRDefault="00D251EA" w:rsidP="00D251EA">
      <w:pPr>
        <w:spacing w:after="0" w:line="240" w:lineRule="auto"/>
        <w:rPr>
          <w:rFonts w:ascii="Garamond" w:hAnsi="Garamond"/>
        </w:rPr>
      </w:pPr>
      <w:r w:rsidRPr="00E94F89">
        <w:rPr>
          <w:rFonts w:ascii="Garamond" w:hAnsi="Garamond"/>
        </w:rPr>
        <w:t xml:space="preserve">*Corresponding author. Email: </w:t>
      </w:r>
      <w:hyperlink r:id="rId8" w:history="1">
        <w:r w:rsidRPr="00471157">
          <w:rPr>
            <w:rStyle w:val="Hyperlink"/>
            <w:rFonts w:ascii="Garamond" w:hAnsi="Garamond"/>
          </w:rPr>
          <w:t>mvogel@albany.edu</w:t>
        </w:r>
      </w:hyperlink>
      <w:r>
        <w:rPr>
          <w:rFonts w:ascii="Garamond" w:hAnsi="Garamond"/>
        </w:rPr>
        <w:t xml:space="preserve">. 135 Western Avenue, Albany NY 12222. </w:t>
      </w:r>
    </w:p>
    <w:p w14:paraId="4D828C16" w14:textId="77777777" w:rsidR="00D251EA" w:rsidRDefault="00D251EA" w:rsidP="00D251EA">
      <w:pPr>
        <w:spacing w:after="0" w:line="240" w:lineRule="auto"/>
        <w:jc w:val="both"/>
        <w:rPr>
          <w:rFonts w:ascii="Garamond" w:hAnsi="Garamond"/>
          <w:b/>
          <w:bCs/>
        </w:rPr>
      </w:pPr>
    </w:p>
    <w:p w14:paraId="24450D39" w14:textId="77777777" w:rsidR="00D251EA" w:rsidRDefault="00D251EA" w:rsidP="00D251EA">
      <w:pPr>
        <w:spacing w:after="0" w:line="240" w:lineRule="auto"/>
        <w:jc w:val="both"/>
        <w:rPr>
          <w:rFonts w:ascii="Garamond" w:hAnsi="Garamond"/>
          <w:b/>
          <w:bCs/>
        </w:rPr>
      </w:pPr>
    </w:p>
    <w:p w14:paraId="08190666" w14:textId="77777777" w:rsidR="00D251EA" w:rsidRPr="00B529D2" w:rsidRDefault="00D251EA" w:rsidP="00D251EA">
      <w:pPr>
        <w:spacing w:after="0" w:line="240" w:lineRule="auto"/>
        <w:jc w:val="both"/>
        <w:rPr>
          <w:rFonts w:ascii="Garamond" w:hAnsi="Garamond"/>
          <w:b/>
          <w:bCs/>
        </w:rPr>
      </w:pPr>
    </w:p>
    <w:p w14:paraId="36B48B43" w14:textId="77777777" w:rsidR="00D251EA" w:rsidRDefault="00D251EA" w:rsidP="008918A0">
      <w:pPr>
        <w:spacing w:after="0" w:line="240" w:lineRule="auto"/>
        <w:jc w:val="both"/>
        <w:rPr>
          <w:rFonts w:ascii="Garamond" w:hAnsi="Garamond"/>
          <w:b/>
          <w:bCs/>
        </w:rPr>
      </w:pPr>
    </w:p>
    <w:p w14:paraId="54A80A58" w14:textId="77777777" w:rsidR="00D251EA" w:rsidRDefault="00D251EA" w:rsidP="008918A0">
      <w:pPr>
        <w:spacing w:after="0" w:line="240" w:lineRule="auto"/>
        <w:jc w:val="both"/>
        <w:rPr>
          <w:rFonts w:ascii="Garamond" w:hAnsi="Garamond"/>
          <w:b/>
          <w:bCs/>
        </w:rPr>
      </w:pPr>
    </w:p>
    <w:p w14:paraId="4EB630F5" w14:textId="77777777" w:rsidR="00D251EA" w:rsidRDefault="00D251EA" w:rsidP="008918A0">
      <w:pPr>
        <w:spacing w:after="0" w:line="240" w:lineRule="auto"/>
        <w:jc w:val="both"/>
        <w:rPr>
          <w:rFonts w:ascii="Garamond" w:hAnsi="Garamond"/>
          <w:b/>
          <w:bCs/>
        </w:rPr>
      </w:pPr>
    </w:p>
    <w:p w14:paraId="75803658" w14:textId="77777777" w:rsidR="00D251EA" w:rsidRDefault="00D251EA" w:rsidP="008918A0">
      <w:pPr>
        <w:spacing w:after="0" w:line="240" w:lineRule="auto"/>
        <w:jc w:val="both"/>
        <w:rPr>
          <w:rFonts w:ascii="Garamond" w:hAnsi="Garamond"/>
          <w:b/>
          <w:bCs/>
        </w:rPr>
      </w:pPr>
    </w:p>
    <w:p w14:paraId="0B13F62A" w14:textId="77777777" w:rsidR="00D251EA" w:rsidRDefault="00D251EA" w:rsidP="008918A0">
      <w:pPr>
        <w:spacing w:after="0" w:line="240" w:lineRule="auto"/>
        <w:jc w:val="both"/>
        <w:rPr>
          <w:rFonts w:ascii="Garamond" w:hAnsi="Garamond"/>
          <w:b/>
          <w:bCs/>
        </w:rPr>
      </w:pPr>
    </w:p>
    <w:p w14:paraId="3D523B5B" w14:textId="77777777" w:rsidR="00D251EA" w:rsidRDefault="00D251EA" w:rsidP="008918A0">
      <w:pPr>
        <w:spacing w:after="0" w:line="240" w:lineRule="auto"/>
        <w:jc w:val="both"/>
        <w:rPr>
          <w:rFonts w:ascii="Garamond" w:hAnsi="Garamond"/>
          <w:b/>
          <w:bCs/>
        </w:rPr>
      </w:pPr>
    </w:p>
    <w:p w14:paraId="4178522F" w14:textId="77777777" w:rsidR="00D251EA" w:rsidRDefault="00D251EA" w:rsidP="008918A0">
      <w:pPr>
        <w:spacing w:after="0" w:line="240" w:lineRule="auto"/>
        <w:jc w:val="both"/>
        <w:rPr>
          <w:rFonts w:ascii="Garamond" w:hAnsi="Garamond"/>
          <w:b/>
          <w:bCs/>
        </w:rPr>
      </w:pPr>
    </w:p>
    <w:p w14:paraId="50C2677B" w14:textId="77777777" w:rsidR="00D251EA" w:rsidRDefault="00D251EA" w:rsidP="008918A0">
      <w:pPr>
        <w:spacing w:after="0" w:line="240" w:lineRule="auto"/>
        <w:jc w:val="both"/>
        <w:rPr>
          <w:rFonts w:ascii="Garamond" w:hAnsi="Garamond"/>
          <w:b/>
          <w:bCs/>
        </w:rPr>
      </w:pPr>
    </w:p>
    <w:p w14:paraId="60242123" w14:textId="77777777" w:rsidR="00D251EA" w:rsidRDefault="00D251EA" w:rsidP="008918A0">
      <w:pPr>
        <w:spacing w:after="0" w:line="240" w:lineRule="auto"/>
        <w:jc w:val="both"/>
        <w:rPr>
          <w:rFonts w:ascii="Garamond" w:hAnsi="Garamond"/>
          <w:b/>
          <w:bCs/>
        </w:rPr>
      </w:pPr>
    </w:p>
    <w:p w14:paraId="6A6F7E31" w14:textId="77777777" w:rsidR="00D251EA" w:rsidRDefault="00D251EA" w:rsidP="008918A0">
      <w:pPr>
        <w:spacing w:after="0" w:line="240" w:lineRule="auto"/>
        <w:jc w:val="both"/>
        <w:rPr>
          <w:rFonts w:ascii="Garamond" w:hAnsi="Garamond"/>
          <w:b/>
          <w:bCs/>
        </w:rPr>
      </w:pPr>
    </w:p>
    <w:p w14:paraId="2CC2C8DF" w14:textId="77777777" w:rsidR="00D251EA" w:rsidRDefault="00D251EA" w:rsidP="008918A0">
      <w:pPr>
        <w:spacing w:after="0" w:line="240" w:lineRule="auto"/>
        <w:jc w:val="both"/>
        <w:rPr>
          <w:rFonts w:ascii="Garamond" w:hAnsi="Garamond"/>
          <w:b/>
          <w:bCs/>
        </w:rPr>
      </w:pPr>
    </w:p>
    <w:p w14:paraId="4BF009A2" w14:textId="77777777" w:rsidR="00D251EA" w:rsidRDefault="00D251EA" w:rsidP="008918A0">
      <w:pPr>
        <w:spacing w:after="0" w:line="240" w:lineRule="auto"/>
        <w:jc w:val="both"/>
        <w:rPr>
          <w:rFonts w:ascii="Garamond" w:hAnsi="Garamond"/>
          <w:b/>
          <w:bCs/>
        </w:rPr>
      </w:pPr>
    </w:p>
    <w:p w14:paraId="0E14B72B" w14:textId="0F996C88" w:rsidR="007F5FA9" w:rsidRPr="00677551" w:rsidRDefault="007F5FA9" w:rsidP="008918A0">
      <w:pPr>
        <w:spacing w:after="0" w:line="240" w:lineRule="auto"/>
        <w:jc w:val="both"/>
        <w:rPr>
          <w:rFonts w:ascii="Garamond" w:hAnsi="Garamond"/>
          <w:i/>
          <w:iCs/>
        </w:rPr>
      </w:pPr>
      <w:r w:rsidRPr="007F5FA9">
        <w:rPr>
          <w:rFonts w:ascii="Garamond" w:hAnsi="Garamond"/>
          <w:b/>
          <w:bCs/>
        </w:rPr>
        <w:lastRenderedPageBreak/>
        <w:t xml:space="preserve">Abstract: </w:t>
      </w:r>
      <w:r w:rsidRPr="00FD64C2">
        <w:rPr>
          <w:rFonts w:ascii="Garamond" w:hAnsi="Garamond"/>
        </w:rPr>
        <w:t>The Social Vulnerability Index (SVI)</w:t>
      </w:r>
      <w:r w:rsidR="00FD64C2">
        <w:rPr>
          <w:rFonts w:ascii="Garamond" w:hAnsi="Garamond"/>
        </w:rPr>
        <w:t xml:space="preserve">, a </w:t>
      </w:r>
      <w:r w:rsidR="0001659C">
        <w:rPr>
          <w:rFonts w:ascii="Garamond" w:hAnsi="Garamond"/>
        </w:rPr>
        <w:t>measure</w:t>
      </w:r>
      <w:r w:rsidR="00FD64C2">
        <w:rPr>
          <w:rFonts w:ascii="Garamond" w:hAnsi="Garamond"/>
        </w:rPr>
        <w:t xml:space="preserve"> designed to </w:t>
      </w:r>
      <w:r w:rsidR="0001659C">
        <w:rPr>
          <w:rFonts w:ascii="Garamond" w:hAnsi="Garamond"/>
        </w:rPr>
        <w:t>gauge</w:t>
      </w:r>
      <w:r w:rsidR="00FD64C2">
        <w:rPr>
          <w:rFonts w:ascii="Garamond" w:hAnsi="Garamond"/>
        </w:rPr>
        <w:t xml:space="preserve"> a community’s resilience to natural disasters, such as hurricanes or wildfires,</w:t>
      </w:r>
      <w:r w:rsidRPr="00FD64C2">
        <w:rPr>
          <w:rFonts w:ascii="Garamond" w:hAnsi="Garamond"/>
        </w:rPr>
        <w:t xml:space="preserve"> has been increasingly adopted in </w:t>
      </w:r>
      <w:r w:rsidR="001436F0" w:rsidRPr="00FD64C2">
        <w:rPr>
          <w:rFonts w:ascii="Garamond" w:hAnsi="Garamond"/>
        </w:rPr>
        <w:t>community violence</w:t>
      </w:r>
      <w:r w:rsidRPr="00FD64C2">
        <w:rPr>
          <w:rFonts w:ascii="Garamond" w:hAnsi="Garamond"/>
        </w:rPr>
        <w:t xml:space="preserve"> research</w:t>
      </w:r>
      <w:r w:rsidR="00FD64C2">
        <w:rPr>
          <w:rFonts w:ascii="Garamond" w:hAnsi="Garamond"/>
        </w:rPr>
        <w:t xml:space="preserve"> to identify places at risk of firearm-related harms</w:t>
      </w:r>
      <w:r w:rsidRPr="00FD64C2">
        <w:rPr>
          <w:rFonts w:ascii="Garamond" w:hAnsi="Garamond"/>
        </w:rPr>
        <w:t>.</w:t>
      </w:r>
      <w:r w:rsidR="00FD64C2">
        <w:rPr>
          <w:rFonts w:ascii="Garamond" w:hAnsi="Garamond"/>
        </w:rPr>
        <w:t xml:space="preserve"> We </w:t>
      </w:r>
      <w:r w:rsidR="00674BC4">
        <w:rPr>
          <w:rFonts w:ascii="Garamond" w:hAnsi="Garamond"/>
        </w:rPr>
        <w:t xml:space="preserve">take stock of recent research on social vulnerability and </w:t>
      </w:r>
      <w:r w:rsidRPr="00FD64C2">
        <w:rPr>
          <w:rFonts w:ascii="Garamond" w:hAnsi="Garamond"/>
        </w:rPr>
        <w:t xml:space="preserve">critically </w:t>
      </w:r>
      <w:r w:rsidR="00FD64C2">
        <w:rPr>
          <w:rFonts w:ascii="Garamond" w:hAnsi="Garamond"/>
        </w:rPr>
        <w:t>assess the</w:t>
      </w:r>
      <w:r w:rsidRPr="00FD64C2">
        <w:rPr>
          <w:rFonts w:ascii="Garamond" w:hAnsi="Garamond"/>
        </w:rPr>
        <w:t xml:space="preserve"> </w:t>
      </w:r>
      <w:r w:rsidR="00FD64C2">
        <w:rPr>
          <w:rFonts w:ascii="Garamond" w:hAnsi="Garamond"/>
        </w:rPr>
        <w:t xml:space="preserve">conceptual and empirical </w:t>
      </w:r>
      <w:r w:rsidRPr="00FD64C2">
        <w:rPr>
          <w:rFonts w:ascii="Garamond" w:hAnsi="Garamond"/>
        </w:rPr>
        <w:t xml:space="preserve">validity of the SVI </w:t>
      </w:r>
      <w:r w:rsidR="00FD64C2">
        <w:rPr>
          <w:rFonts w:ascii="Garamond" w:hAnsi="Garamond"/>
        </w:rPr>
        <w:t>in the context of community</w:t>
      </w:r>
      <w:r w:rsidRPr="00FD64C2">
        <w:rPr>
          <w:rFonts w:ascii="Garamond" w:hAnsi="Garamond"/>
        </w:rPr>
        <w:t xml:space="preserve"> firearm violence. </w:t>
      </w:r>
      <w:r w:rsidR="001436F0" w:rsidRPr="00FD64C2">
        <w:rPr>
          <w:rFonts w:ascii="Garamond" w:hAnsi="Garamond"/>
        </w:rPr>
        <w:t xml:space="preserve">We </w:t>
      </w:r>
      <w:r w:rsidR="00FD64C2">
        <w:rPr>
          <w:rFonts w:ascii="Garamond" w:hAnsi="Garamond"/>
        </w:rPr>
        <w:t>first compare</w:t>
      </w:r>
      <w:r w:rsidRPr="00FD64C2">
        <w:rPr>
          <w:rFonts w:ascii="Garamond" w:hAnsi="Garamond"/>
        </w:rPr>
        <w:t xml:space="preserve"> </w:t>
      </w:r>
      <w:r w:rsidR="001436F0" w:rsidRPr="00FD64C2">
        <w:rPr>
          <w:rFonts w:ascii="Garamond" w:hAnsi="Garamond"/>
        </w:rPr>
        <w:t xml:space="preserve">the </w:t>
      </w:r>
      <w:r w:rsidR="00FD64C2">
        <w:rPr>
          <w:rFonts w:ascii="Garamond" w:hAnsi="Garamond"/>
        </w:rPr>
        <w:t xml:space="preserve">measurement properties of the </w:t>
      </w:r>
      <w:r w:rsidR="001436F0" w:rsidRPr="00FD64C2">
        <w:rPr>
          <w:rFonts w:ascii="Garamond" w:hAnsi="Garamond"/>
        </w:rPr>
        <w:t>SVI</w:t>
      </w:r>
      <w:r w:rsidRPr="00FD64C2">
        <w:rPr>
          <w:rFonts w:ascii="Garamond" w:hAnsi="Garamond"/>
        </w:rPr>
        <w:t xml:space="preserve"> with</w:t>
      </w:r>
      <w:r w:rsidR="00047E9A" w:rsidRPr="00FD64C2">
        <w:rPr>
          <w:rFonts w:ascii="Garamond" w:hAnsi="Garamond"/>
        </w:rPr>
        <w:t xml:space="preserve"> a</w:t>
      </w:r>
      <w:r w:rsidRPr="00FD64C2">
        <w:rPr>
          <w:rFonts w:ascii="Garamond" w:hAnsi="Garamond"/>
        </w:rPr>
        <w:t xml:space="preserve"> conventional </w:t>
      </w:r>
      <w:r w:rsidR="002A4B04" w:rsidRPr="00FD64C2">
        <w:rPr>
          <w:rFonts w:ascii="Garamond" w:hAnsi="Garamond"/>
        </w:rPr>
        <w:t xml:space="preserve">index of </w:t>
      </w:r>
      <w:r w:rsidR="0091205C" w:rsidRPr="00FD64C2">
        <w:rPr>
          <w:rFonts w:ascii="Garamond" w:hAnsi="Garamond"/>
        </w:rPr>
        <w:t xml:space="preserve">concentrated </w:t>
      </w:r>
      <w:r w:rsidRPr="00FD64C2">
        <w:rPr>
          <w:rFonts w:ascii="Garamond" w:hAnsi="Garamond"/>
        </w:rPr>
        <w:t>disadvantage</w:t>
      </w:r>
      <w:r w:rsidR="00FD64C2">
        <w:rPr>
          <w:rFonts w:ascii="Garamond" w:hAnsi="Garamond"/>
        </w:rPr>
        <w:t xml:space="preserve"> (CDI) </w:t>
      </w:r>
      <w:r w:rsidR="00674BC4">
        <w:rPr>
          <w:rFonts w:ascii="Garamond" w:hAnsi="Garamond"/>
        </w:rPr>
        <w:t>commonplace</w:t>
      </w:r>
      <w:r w:rsidR="00FD64C2">
        <w:rPr>
          <w:rFonts w:ascii="Garamond" w:hAnsi="Garamond"/>
        </w:rPr>
        <w:t xml:space="preserve"> in social science research on </w:t>
      </w:r>
      <w:r w:rsidR="00674BC4">
        <w:rPr>
          <w:rFonts w:ascii="Garamond" w:hAnsi="Garamond"/>
        </w:rPr>
        <w:t>community violence</w:t>
      </w:r>
      <w:r w:rsidR="00FD64C2">
        <w:rPr>
          <w:rFonts w:ascii="Garamond" w:hAnsi="Garamond"/>
        </w:rPr>
        <w:t>. We then compare the empirical associations between firearm violence and the SVI and CDI</w:t>
      </w:r>
      <w:r w:rsidR="001436F0" w:rsidRPr="00FD64C2">
        <w:rPr>
          <w:rFonts w:ascii="Garamond" w:hAnsi="Garamond"/>
        </w:rPr>
        <w:t xml:space="preserve"> in a series</w:t>
      </w:r>
      <w:r w:rsidR="00AE61A7" w:rsidRPr="00FD64C2">
        <w:rPr>
          <w:rFonts w:ascii="Garamond" w:hAnsi="Garamond"/>
        </w:rPr>
        <w:t xml:space="preserve"> of</w:t>
      </w:r>
      <w:r w:rsidR="001436F0" w:rsidRPr="00FD64C2">
        <w:rPr>
          <w:rFonts w:ascii="Garamond" w:hAnsi="Garamond"/>
        </w:rPr>
        <w:t xml:space="preserve"> tract-level</w:t>
      </w:r>
      <w:r w:rsidR="00AE61A7" w:rsidRPr="00FD64C2">
        <w:rPr>
          <w:rFonts w:ascii="Garamond" w:hAnsi="Garamond"/>
        </w:rPr>
        <w:t>,</w:t>
      </w:r>
      <w:r w:rsidR="001436F0" w:rsidRPr="00FD64C2">
        <w:rPr>
          <w:rFonts w:ascii="Garamond" w:hAnsi="Garamond"/>
        </w:rPr>
        <w:t xml:space="preserve"> cross-sectional models in </w:t>
      </w:r>
      <w:r w:rsidR="00573E80" w:rsidRPr="00FD64C2">
        <w:rPr>
          <w:rFonts w:ascii="Garamond" w:hAnsi="Garamond"/>
        </w:rPr>
        <w:t>84</w:t>
      </w:r>
      <w:r w:rsidR="00FD64C2">
        <w:rPr>
          <w:rFonts w:ascii="Garamond" w:hAnsi="Garamond"/>
        </w:rPr>
        <w:t xml:space="preserve"> </w:t>
      </w:r>
      <w:r w:rsidR="001436F0" w:rsidRPr="00FD64C2">
        <w:rPr>
          <w:rFonts w:ascii="Garamond" w:hAnsi="Garamond"/>
        </w:rPr>
        <w:t>American cities</w:t>
      </w:r>
      <w:r w:rsidRPr="00FD64C2">
        <w:rPr>
          <w:rFonts w:ascii="Garamond" w:hAnsi="Garamond"/>
        </w:rPr>
        <w:t xml:space="preserve">. </w:t>
      </w:r>
      <w:r w:rsidR="00E6004C" w:rsidRPr="00FD64C2">
        <w:rPr>
          <w:rFonts w:ascii="Garamond" w:hAnsi="Garamond"/>
        </w:rPr>
        <w:t>Our r</w:t>
      </w:r>
      <w:r w:rsidRPr="00FD64C2">
        <w:rPr>
          <w:rFonts w:ascii="Garamond" w:hAnsi="Garamond"/>
        </w:rPr>
        <w:t xml:space="preserve">esults </w:t>
      </w:r>
      <w:r w:rsidR="00E6004C" w:rsidRPr="00FD64C2">
        <w:rPr>
          <w:rFonts w:ascii="Garamond" w:hAnsi="Garamond"/>
        </w:rPr>
        <w:t xml:space="preserve">demonstrate </w:t>
      </w:r>
      <w:r w:rsidRPr="00FD64C2">
        <w:rPr>
          <w:rFonts w:ascii="Garamond" w:hAnsi="Garamond"/>
        </w:rPr>
        <w:t xml:space="preserve">that the SVI </w:t>
      </w:r>
      <w:r w:rsidR="001436F0" w:rsidRPr="00FD64C2">
        <w:rPr>
          <w:rFonts w:ascii="Garamond" w:hAnsi="Garamond"/>
        </w:rPr>
        <w:t xml:space="preserve">consistently </w:t>
      </w:r>
      <w:r w:rsidRPr="00FD64C2">
        <w:rPr>
          <w:rFonts w:ascii="Garamond" w:hAnsi="Garamond"/>
        </w:rPr>
        <w:t xml:space="preserve">underperforms relative to </w:t>
      </w:r>
      <w:r w:rsidR="00FD64C2">
        <w:rPr>
          <w:rFonts w:ascii="Garamond" w:hAnsi="Garamond"/>
        </w:rPr>
        <w:t>the traditional</w:t>
      </w:r>
      <w:r w:rsidR="00585A85">
        <w:rPr>
          <w:rFonts w:ascii="Garamond" w:hAnsi="Garamond"/>
        </w:rPr>
        <w:t xml:space="preserve"> measure of</w:t>
      </w:r>
      <w:r w:rsidR="00FD64C2">
        <w:rPr>
          <w:rFonts w:ascii="Garamond" w:hAnsi="Garamond"/>
        </w:rPr>
        <w:t xml:space="preserve"> CDI</w:t>
      </w:r>
      <w:r w:rsidRPr="00FD64C2">
        <w:rPr>
          <w:rFonts w:ascii="Garamond" w:hAnsi="Garamond"/>
        </w:rPr>
        <w:t xml:space="preserve"> and that </w:t>
      </w:r>
      <w:r w:rsidR="00814CDD">
        <w:rPr>
          <w:rFonts w:ascii="Garamond" w:hAnsi="Garamond"/>
        </w:rPr>
        <w:t>the SVI’s</w:t>
      </w:r>
      <w:r w:rsidRPr="00FD64C2">
        <w:rPr>
          <w:rFonts w:ascii="Garamond" w:hAnsi="Garamond"/>
        </w:rPr>
        <w:t xml:space="preserve"> explanatory power derives almost entirely from its socioeconomic</w:t>
      </w:r>
      <w:r w:rsidR="001436F0" w:rsidRPr="00FD64C2">
        <w:rPr>
          <w:rFonts w:ascii="Garamond" w:hAnsi="Garamond"/>
        </w:rPr>
        <w:t xml:space="preserve"> status</w:t>
      </w:r>
      <w:r w:rsidRPr="00FD64C2">
        <w:rPr>
          <w:rFonts w:ascii="Garamond" w:hAnsi="Garamond"/>
        </w:rPr>
        <w:t xml:space="preserve"> sub</w:t>
      </w:r>
      <w:r w:rsidR="00AE3B7C">
        <w:rPr>
          <w:rFonts w:ascii="Garamond" w:hAnsi="Garamond"/>
        </w:rPr>
        <w:t>theme</w:t>
      </w:r>
      <w:r w:rsidRPr="00FD64C2">
        <w:rPr>
          <w:rFonts w:ascii="Garamond" w:hAnsi="Garamond"/>
        </w:rPr>
        <w:t xml:space="preserve">. Conceptually, the SVI measures a community’s capacity to absorb </w:t>
      </w:r>
      <w:r w:rsidR="005B0E42" w:rsidRPr="00FD64C2">
        <w:rPr>
          <w:rFonts w:ascii="Garamond" w:hAnsi="Garamond"/>
        </w:rPr>
        <w:t>exogenous</w:t>
      </w:r>
      <w:r w:rsidRPr="00FD64C2">
        <w:rPr>
          <w:rFonts w:ascii="Garamond" w:hAnsi="Garamond"/>
        </w:rPr>
        <w:t xml:space="preserve"> shocks, not the structural determinants of violence. Methodologically, its rank-based equal-weighting scheme </w:t>
      </w:r>
      <w:r w:rsidR="00AE3B7C">
        <w:rPr>
          <w:rFonts w:ascii="Garamond" w:hAnsi="Garamond"/>
        </w:rPr>
        <w:t xml:space="preserve">weakens </w:t>
      </w:r>
      <w:r w:rsidRPr="00FD64C2">
        <w:rPr>
          <w:rFonts w:ascii="Garamond" w:hAnsi="Garamond"/>
        </w:rPr>
        <w:t xml:space="preserve">construct validity. We argue that </w:t>
      </w:r>
      <w:r w:rsidR="00FD64C2">
        <w:rPr>
          <w:rFonts w:ascii="Garamond" w:hAnsi="Garamond"/>
        </w:rPr>
        <w:t xml:space="preserve">the </w:t>
      </w:r>
      <w:r w:rsidRPr="00FD64C2">
        <w:rPr>
          <w:rFonts w:ascii="Garamond" w:hAnsi="Garamond"/>
        </w:rPr>
        <w:t xml:space="preserve">reliance on SVI in </w:t>
      </w:r>
      <w:r w:rsidR="00FD64C2">
        <w:rPr>
          <w:rFonts w:ascii="Garamond" w:hAnsi="Garamond"/>
        </w:rPr>
        <w:t>the realm of firearm research</w:t>
      </w:r>
      <w:r w:rsidRPr="00FD64C2">
        <w:rPr>
          <w:rFonts w:ascii="Garamond" w:hAnsi="Garamond"/>
        </w:rPr>
        <w:t xml:space="preserve"> represents a form of conceptual drift that risks m</w:t>
      </w:r>
      <w:r w:rsidR="00785053" w:rsidRPr="00FD64C2">
        <w:rPr>
          <w:rFonts w:ascii="Garamond" w:hAnsi="Garamond"/>
        </w:rPr>
        <w:t>isdi</w:t>
      </w:r>
      <w:r w:rsidRPr="00FD64C2">
        <w:rPr>
          <w:rFonts w:ascii="Garamond" w:hAnsi="Garamond"/>
        </w:rPr>
        <w:t xml:space="preserve">recting prevention resources and mischaracterizing the </w:t>
      </w:r>
      <w:r w:rsidR="00FD4198" w:rsidRPr="00FD64C2">
        <w:rPr>
          <w:rFonts w:ascii="Garamond" w:hAnsi="Garamond"/>
        </w:rPr>
        <w:t>community-level origins</w:t>
      </w:r>
      <w:r w:rsidRPr="00FD64C2">
        <w:rPr>
          <w:rFonts w:ascii="Garamond" w:hAnsi="Garamond"/>
        </w:rPr>
        <w:t xml:space="preserve"> of firearm harm</w:t>
      </w:r>
      <w:r w:rsidR="00FD64C2">
        <w:rPr>
          <w:rFonts w:ascii="Garamond" w:hAnsi="Garamond"/>
        </w:rPr>
        <w:t>s in the United States</w:t>
      </w:r>
      <w:r w:rsidRPr="00FD64C2">
        <w:rPr>
          <w:rFonts w:ascii="Garamond" w:hAnsi="Garamond"/>
        </w:rPr>
        <w:t>.</w:t>
      </w:r>
    </w:p>
    <w:p w14:paraId="3ADFADAB" w14:textId="77777777" w:rsidR="00511037" w:rsidRDefault="00511037" w:rsidP="008918A0">
      <w:pPr>
        <w:spacing w:after="0" w:line="240" w:lineRule="auto"/>
        <w:jc w:val="both"/>
        <w:rPr>
          <w:rFonts w:ascii="Garamond" w:hAnsi="Garamond"/>
        </w:rPr>
      </w:pPr>
    </w:p>
    <w:p w14:paraId="37CF288B" w14:textId="43074018" w:rsidR="00E6004C" w:rsidRPr="00E6004C" w:rsidRDefault="00E6004C" w:rsidP="008918A0">
      <w:pPr>
        <w:spacing w:after="0" w:line="240" w:lineRule="auto"/>
        <w:jc w:val="both"/>
        <w:rPr>
          <w:rFonts w:ascii="Garamond" w:hAnsi="Garamond"/>
        </w:rPr>
      </w:pPr>
      <w:r w:rsidRPr="00E6004C">
        <w:rPr>
          <w:rFonts w:ascii="Garamond" w:hAnsi="Garamond"/>
          <w:b/>
          <w:bCs/>
        </w:rPr>
        <w:t xml:space="preserve">Key Words: </w:t>
      </w:r>
      <w:r>
        <w:rPr>
          <w:rFonts w:ascii="Garamond" w:hAnsi="Garamond"/>
        </w:rPr>
        <w:t>Social Vulnerability; firearm violence; socioeconomic disadvantage</w:t>
      </w:r>
    </w:p>
    <w:p w14:paraId="1F42847B" w14:textId="77777777" w:rsidR="00511037" w:rsidRDefault="00511037" w:rsidP="008918A0">
      <w:pPr>
        <w:spacing w:after="0" w:line="240" w:lineRule="auto"/>
        <w:jc w:val="both"/>
        <w:rPr>
          <w:rFonts w:ascii="Garamond" w:hAnsi="Garamond"/>
        </w:rPr>
      </w:pPr>
    </w:p>
    <w:p w14:paraId="41D8C909" w14:textId="77777777" w:rsidR="00D777B8" w:rsidRDefault="00D777B8" w:rsidP="00C028DE">
      <w:pPr>
        <w:spacing w:after="0" w:line="480" w:lineRule="auto"/>
        <w:jc w:val="both"/>
        <w:rPr>
          <w:rFonts w:ascii="Garamond" w:hAnsi="Garamond"/>
          <w:b/>
          <w:bCs/>
        </w:rPr>
      </w:pPr>
    </w:p>
    <w:p w14:paraId="301E5805" w14:textId="033921F8" w:rsidR="00FC1E66" w:rsidRPr="00FC1E66" w:rsidRDefault="00FC1E66" w:rsidP="00C028DE">
      <w:pPr>
        <w:spacing w:after="0" w:line="480" w:lineRule="auto"/>
        <w:jc w:val="both"/>
        <w:rPr>
          <w:rFonts w:ascii="Garamond" w:hAnsi="Garamond"/>
          <w:b/>
          <w:bCs/>
        </w:rPr>
      </w:pPr>
      <w:r>
        <w:rPr>
          <w:rFonts w:ascii="Garamond" w:hAnsi="Garamond"/>
          <w:b/>
          <w:bCs/>
        </w:rPr>
        <w:t>INTRODUCTION</w:t>
      </w:r>
    </w:p>
    <w:p w14:paraId="688331F8" w14:textId="5DCC88CF" w:rsidR="00C9433E" w:rsidRPr="00C9433E" w:rsidRDefault="00C9433E" w:rsidP="00C028DE">
      <w:pPr>
        <w:spacing w:after="0" w:line="480" w:lineRule="auto"/>
        <w:ind w:firstLine="720"/>
        <w:jc w:val="both"/>
        <w:rPr>
          <w:rFonts w:ascii="Garamond" w:hAnsi="Garamond"/>
        </w:rPr>
      </w:pPr>
      <w:r w:rsidRPr="00C9433E">
        <w:rPr>
          <w:rFonts w:ascii="Garamond" w:hAnsi="Garamond"/>
        </w:rPr>
        <w:t xml:space="preserve">Firearm violence remains </w:t>
      </w:r>
      <w:r w:rsidR="001436F0">
        <w:rPr>
          <w:rFonts w:ascii="Garamond" w:hAnsi="Garamond"/>
        </w:rPr>
        <w:t>a</w:t>
      </w:r>
      <w:r w:rsidRPr="00C9433E">
        <w:rPr>
          <w:rFonts w:ascii="Garamond" w:hAnsi="Garamond"/>
        </w:rPr>
        <w:t xml:space="preserve"> leading public health cris</w:t>
      </w:r>
      <w:r w:rsidR="00DF7BB5">
        <w:rPr>
          <w:rFonts w:ascii="Garamond" w:hAnsi="Garamond"/>
        </w:rPr>
        <w:t>i</w:t>
      </w:r>
      <w:r w:rsidRPr="00C9433E">
        <w:rPr>
          <w:rFonts w:ascii="Garamond" w:hAnsi="Garamond"/>
        </w:rPr>
        <w:t>s in the United States</w:t>
      </w:r>
      <w:r w:rsidR="00C95315">
        <w:rPr>
          <w:rFonts w:ascii="Garamond" w:hAnsi="Garamond" w:hint="eastAsia"/>
          <w:lang w:eastAsia="ko-KR"/>
        </w:rPr>
        <w:t xml:space="preserve"> </w:t>
      </w:r>
      <w:r w:rsidR="00323437">
        <w:rPr>
          <w:rFonts w:ascii="Garamond" w:hAnsi="Garamond"/>
          <w:lang w:eastAsia="ko-KR"/>
        </w:rPr>
        <w:fldChar w:fldCharType="begin"/>
      </w:r>
      <w:r w:rsidR="00451062">
        <w:rPr>
          <w:rFonts w:ascii="Garamond" w:hAnsi="Garamond"/>
          <w:lang w:eastAsia="ko-KR"/>
        </w:rPr>
        <w:instrText xml:space="preserve"> ADDIN ZOTERO_ITEM CSL_CITATION {"citationID":"00MmCb7W","properties":{"unsorted":false,"formattedCitation":"[1]","plainCitation":"[1]","noteIndex":0},"citationItems":[{"id":27408,"uris":["http://zotero.org/users/7595310/items/CCELSCS4"],"itemData":{"id":27408,"type":"webpage","abstract":"Web-based Injury Statistics Query and Reporting System","citation-key":"__centersfordiseasecontrolandprevention","container-title":"Centers for Disease Control and Prevention","language":"en","publisher":"CDC WISQARS","title":"CDC WISQARS - web-based injury statistics query and reporting system","URL":"https://wisqars.cdc.gov/","accessed":{"date-parts":[["2026",6,2]]},"issued":{"date-parts":[["2024"]]}}}],"schema":"https://github.com/citation-style-language/schema/raw/master/csl-citation.json"} </w:instrText>
      </w:r>
      <w:r w:rsidR="00323437">
        <w:rPr>
          <w:rFonts w:ascii="Garamond" w:hAnsi="Garamond"/>
          <w:lang w:eastAsia="ko-KR"/>
        </w:rPr>
        <w:fldChar w:fldCharType="separate"/>
      </w:r>
      <w:r w:rsidR="00C17317" w:rsidRPr="00C17317">
        <w:rPr>
          <w:rFonts w:ascii="Garamond" w:hAnsi="Garamond"/>
          <w:lang w:eastAsia="ko-KR"/>
        </w:rPr>
        <w:t>[1]</w:t>
      </w:r>
      <w:r w:rsidR="00323437">
        <w:rPr>
          <w:rFonts w:ascii="Garamond" w:hAnsi="Garamond"/>
          <w:lang w:eastAsia="ko-KR"/>
        </w:rPr>
        <w:fldChar w:fldCharType="end"/>
      </w:r>
      <w:r w:rsidRPr="00C9433E">
        <w:rPr>
          <w:rFonts w:ascii="Garamond" w:hAnsi="Garamond"/>
        </w:rPr>
        <w:t>. Rates of both lethal and non-lethal violence in America far exceed those observed in any other Western democracy</w:t>
      </w:r>
      <w:r w:rsidR="005548B3">
        <w:rPr>
          <w:rFonts w:ascii="Garamond" w:hAnsi="Garamond" w:hint="eastAsia"/>
          <w:lang w:eastAsia="ko-KR"/>
        </w:rPr>
        <w:t xml:space="preserve"> </w:t>
      </w:r>
      <w:r w:rsidR="005548B3">
        <w:rPr>
          <w:rFonts w:ascii="Garamond" w:hAnsi="Garamond"/>
          <w:lang w:eastAsia="ko-KR"/>
        </w:rPr>
        <w:fldChar w:fldCharType="begin"/>
      </w:r>
      <w:r w:rsidR="005548B3">
        <w:rPr>
          <w:rFonts w:ascii="Garamond" w:hAnsi="Garamond"/>
          <w:lang w:eastAsia="ko-KR"/>
        </w:rPr>
        <w:instrText xml:space="preserve"> ADDIN ZOTERO_ITEM CSL_CITATION {"citationID":"zFhSAtKs","properties":{"unsorted":false,"formattedCitation":"[2]","plainCitation":"[2]","noteIndex":0},"citationItems":[{"id":27503,"uris":["http://zotero.org/users/7595310/items/TE2UF2KQ"],"itemData":{"id":27503,"type":"article-journal","abstract":"Violence is a serious public health issue in the U.S. This research compares the US and other high-income countries in terms of violent death. We used data from the World Health Organization for populous, high-income countries. Data from CDC's WISQARS and WONDER systems were used to assess mortality data among US white and non-white populations and in low-, medium-, and high-gun states in 2015. Death rates per 100,000 populations were calculated overall, by age, and by sex. Poisson and negative binomial regression were used to test for significance. The homicide rate in the US was 7.5 times higher than the homicide rate in the other high-income countries combined, which was largely attributable to a firearm homicide rate that was 24.9 times higher. The overall firearm death rate was 11.4 times higher in the US than in other high-income countries. In this dataset, 83.7% of all firearm deaths, 91.6% of women killed by guns, and 96.7% of all children aged 0–4</w:instrText>
      </w:r>
      <w:r w:rsidR="005548B3">
        <w:rPr>
          <w:rFonts w:ascii="Arial" w:hAnsi="Arial" w:cs="Arial"/>
          <w:lang w:eastAsia="ko-KR"/>
        </w:rPr>
        <w:instrText> </w:instrText>
      </w:r>
      <w:r w:rsidR="005548B3">
        <w:rPr>
          <w:rFonts w:ascii="Garamond" w:hAnsi="Garamond"/>
          <w:lang w:eastAsia="ko-KR"/>
        </w:rPr>
        <w:instrText xml:space="preserve">years killed by guns were from the US. Firearm homicide rates were 36 times higher in high-gun US states and 13.5 times higher in low-gun US states than the firearm homicide rate in other high-income countries combined. The firearm homicide rate among the US white population was 12 times higher than the firearm homicide rate in other high-income countries. The US firearm death rate increased between 2003 and 2015 and decreased in other high-income countries. The US continues to be an outlier among high-income countries with respect to firearm deaths.","citation-key":"grinshteyn_2019_preventivemedicine","container-title":"Preventive Medicine","DOI":"10.1016/j.ypmed.2019.02.026","ISSN":"0091-7435","journalAbbreviation":"Preventive Medicine","page":"20-26","source":"ScienceDirect","title":"Violent death rates in the US compared to those of the other high-income countries, 2015","volume":"123","author":[{"family":"Grinshteyn","given":"Erin"},{"family":"Hemenway","given":"David"}],"issued":{"date-parts":[["2019",6,1]]}}}],"schema":"https://github.com/citation-style-language/schema/raw/master/csl-citation.json"} </w:instrText>
      </w:r>
      <w:r w:rsidR="005548B3">
        <w:rPr>
          <w:rFonts w:ascii="Garamond" w:hAnsi="Garamond"/>
          <w:lang w:eastAsia="ko-KR"/>
        </w:rPr>
        <w:fldChar w:fldCharType="separate"/>
      </w:r>
      <w:r w:rsidR="005548B3" w:rsidRPr="005548B3">
        <w:rPr>
          <w:rFonts w:ascii="Garamond" w:hAnsi="Garamond"/>
          <w:lang w:eastAsia="ko-KR"/>
        </w:rPr>
        <w:t>[2]</w:t>
      </w:r>
      <w:r w:rsidR="005548B3">
        <w:rPr>
          <w:rFonts w:ascii="Garamond" w:hAnsi="Garamond"/>
          <w:lang w:eastAsia="ko-KR"/>
        </w:rPr>
        <w:fldChar w:fldCharType="end"/>
      </w:r>
      <w:r w:rsidRPr="00C9433E">
        <w:rPr>
          <w:rFonts w:ascii="Garamond" w:hAnsi="Garamond"/>
        </w:rPr>
        <w:t xml:space="preserve">. </w:t>
      </w:r>
      <w:r w:rsidR="001436F0">
        <w:rPr>
          <w:rFonts w:ascii="Garamond" w:hAnsi="Garamond"/>
        </w:rPr>
        <w:t>Violence</w:t>
      </w:r>
      <w:r w:rsidR="00D927DF">
        <w:rPr>
          <w:rFonts w:ascii="Garamond" w:hAnsi="Garamond"/>
        </w:rPr>
        <w:t xml:space="preserve"> </w:t>
      </w:r>
      <w:r w:rsidRPr="00C9433E">
        <w:rPr>
          <w:rFonts w:ascii="Garamond" w:hAnsi="Garamond"/>
        </w:rPr>
        <w:t>is deeply entrenched in socioeconomically disadvantaged and racialized minority neighborhoods</w:t>
      </w:r>
      <w:r w:rsidR="00C95315">
        <w:rPr>
          <w:rFonts w:ascii="Garamond" w:hAnsi="Garamond" w:hint="eastAsia"/>
          <w:lang w:eastAsia="ko-KR"/>
        </w:rPr>
        <w:t xml:space="preserve"> </w:t>
      </w:r>
      <w:r w:rsidR="00C95315">
        <w:rPr>
          <w:rFonts w:ascii="Garamond" w:hAnsi="Garamond"/>
          <w:lang w:eastAsia="ko-KR"/>
        </w:rPr>
        <w:fldChar w:fldCharType="begin"/>
      </w:r>
      <w:r w:rsidR="005548B3">
        <w:rPr>
          <w:rFonts w:ascii="Garamond" w:hAnsi="Garamond"/>
          <w:lang w:eastAsia="ko-KR"/>
        </w:rPr>
        <w:instrText xml:space="preserve"> ADDIN ZOTERO_ITEM CSL_CITATION {"citationID":"xYNk2xQN","properties":{"unsorted":false,"formattedCitation":"[3]","plainCitation":"[3]","noteIndex":0},"citationItems":[{"id":27449,"uris":["http://zotero.org/users/7595310/items/H74XQEG9"],"itemData":{"id":27449,"type":"book","abstract":"\"More than half a century after the first Jim Crow laws were dismantled, the majority of urban neighborhoods in the United States remain segregated by race. The degree of social and economic advantage or disadvantage that each community experiences - particularly its crime rate - is most often a reflection of which group is in the majority. Based on the authors' groundbreaking National Neighborhood Crime Study (NNCS), this book provides a more complete picture of the social conditions underlying neighborhood crime patterns than has ever before been drawn. The study includes economic, social, and local investment data for nearly nine thousand neighborhoods in 87 cities, and the findings reveal a pattern across neighborhoods of racialized separation among unequal groups. Residential segregation reproduces existing privilege or disadvantage in neighborhoods, increasing the potential for crime and instability in impoverished non-white areas yet providing few opportunities for residents to improve conditions or leave. This book lays to rest the popular misconception that persistently high crime rates in impoverished, non-white neighborhoods are merely the result of individual pathologies, or worse, inherent group criminality. Separate, the book emphasizes, is inherently unequal.\"-- Provided by Publisher","citation-key":"peterson_2012_a","edition":"1st paperback edition","ISBN":"978-0-87154-697-5","language":"eng","note":"OCLC: 813165261","publisher":"Russell Sage Foundation","publisher-place":"New York","source":"Open WorldCat","title":"Divergent social worlds: neighborhood crime and the racial-spatial divide","title-short":"Divergent social worlds","author":[{"family":"Peterson","given":"Ruth D."},{"family":"Krivo","given":"Lauren Joy"}],"contributor":[{"family":"Hagan","given":"John"}],"issued":{"date-parts":[["2012"]]}}}],"schema":"https://github.com/citation-style-language/schema/raw/master/csl-citation.json"} </w:instrText>
      </w:r>
      <w:r w:rsidR="00C95315">
        <w:rPr>
          <w:rFonts w:ascii="Garamond" w:hAnsi="Garamond"/>
          <w:lang w:eastAsia="ko-KR"/>
        </w:rPr>
        <w:fldChar w:fldCharType="separate"/>
      </w:r>
      <w:r w:rsidR="005548B3" w:rsidRPr="005548B3">
        <w:rPr>
          <w:rFonts w:ascii="Garamond" w:hAnsi="Garamond"/>
          <w:lang w:eastAsia="ko-KR"/>
        </w:rPr>
        <w:t>[3]</w:t>
      </w:r>
      <w:r w:rsidR="00C95315">
        <w:rPr>
          <w:rFonts w:ascii="Garamond" w:hAnsi="Garamond"/>
          <w:lang w:eastAsia="ko-KR"/>
        </w:rPr>
        <w:fldChar w:fldCharType="end"/>
      </w:r>
      <w:r w:rsidRPr="00C9433E">
        <w:rPr>
          <w:rFonts w:ascii="Garamond" w:hAnsi="Garamond"/>
        </w:rPr>
        <w:t>. In response, public health researchers have increasingly sought to identify both the proximate and distal determinants of the unequal burden of firearm harm across American cities.</w:t>
      </w:r>
    </w:p>
    <w:p w14:paraId="67B91069" w14:textId="4F6693CC" w:rsidR="00C9433E" w:rsidRPr="00C9433E" w:rsidRDefault="00C9433E" w:rsidP="00C028DE">
      <w:pPr>
        <w:spacing w:after="0" w:line="480" w:lineRule="auto"/>
        <w:ind w:firstLine="720"/>
        <w:jc w:val="both"/>
        <w:rPr>
          <w:rFonts w:ascii="Garamond" w:hAnsi="Garamond"/>
        </w:rPr>
      </w:pPr>
      <w:r w:rsidRPr="00C9433E">
        <w:rPr>
          <w:rFonts w:ascii="Garamond" w:hAnsi="Garamond"/>
        </w:rPr>
        <w:t xml:space="preserve">A growing body of </w:t>
      </w:r>
      <w:r w:rsidR="00BA672E">
        <w:rPr>
          <w:rFonts w:ascii="Garamond" w:hAnsi="Garamond"/>
        </w:rPr>
        <w:t xml:space="preserve">public health </w:t>
      </w:r>
      <w:r w:rsidRPr="00C9433E">
        <w:rPr>
          <w:rFonts w:ascii="Garamond" w:hAnsi="Garamond"/>
        </w:rPr>
        <w:t xml:space="preserve">scholarship points to </w:t>
      </w:r>
      <w:r w:rsidRPr="00C9433E">
        <w:rPr>
          <w:rFonts w:ascii="Garamond" w:hAnsi="Garamond"/>
          <w:i/>
          <w:iCs/>
        </w:rPr>
        <w:t>social vulnerability</w:t>
      </w:r>
      <w:r w:rsidR="00707380">
        <w:rPr>
          <w:rFonts w:ascii="Garamond" w:hAnsi="Garamond"/>
        </w:rPr>
        <w:t xml:space="preserve">, </w:t>
      </w:r>
      <w:r w:rsidRPr="00C9433E">
        <w:rPr>
          <w:rFonts w:ascii="Garamond" w:hAnsi="Garamond"/>
        </w:rPr>
        <w:t>often operationalized through the Centers for Disease Control and Prevention’s Social Vulnerability Index (SVI)</w:t>
      </w:r>
      <w:r w:rsidR="00707380">
        <w:rPr>
          <w:rFonts w:ascii="Garamond" w:hAnsi="Garamond"/>
        </w:rPr>
        <w:t xml:space="preserve">, </w:t>
      </w:r>
      <w:r w:rsidRPr="00C9433E">
        <w:rPr>
          <w:rFonts w:ascii="Garamond" w:hAnsi="Garamond"/>
        </w:rPr>
        <w:t xml:space="preserve">as </w:t>
      </w:r>
      <w:r w:rsidR="003F7975">
        <w:rPr>
          <w:rFonts w:ascii="Garamond" w:hAnsi="Garamond"/>
        </w:rPr>
        <w:t>the preeminent</w:t>
      </w:r>
      <w:r w:rsidRPr="00C9433E">
        <w:rPr>
          <w:rFonts w:ascii="Garamond" w:hAnsi="Garamond"/>
        </w:rPr>
        <w:t xml:space="preserve"> ecological risk factor for community firearm violence. Indeed, numerous studies have documented </w:t>
      </w:r>
      <w:r w:rsidR="004A1160">
        <w:rPr>
          <w:rFonts w:ascii="Garamond" w:hAnsi="Garamond"/>
        </w:rPr>
        <w:t>meaningful associations</w:t>
      </w:r>
      <w:r w:rsidRPr="00C9433E">
        <w:rPr>
          <w:rFonts w:ascii="Garamond" w:hAnsi="Garamond"/>
        </w:rPr>
        <w:t xml:space="preserve"> between the SVI and firearm-related outcomes, including violence, injuries,</w:t>
      </w:r>
      <w:r w:rsidR="00CE6F03">
        <w:rPr>
          <w:rFonts w:ascii="Garamond" w:hAnsi="Garamond"/>
        </w:rPr>
        <w:t xml:space="preserve"> self-harm,</w:t>
      </w:r>
      <w:r w:rsidRPr="00C9433E">
        <w:rPr>
          <w:rFonts w:ascii="Garamond" w:hAnsi="Garamond"/>
        </w:rPr>
        <w:t xml:space="preserve"> emergency department visits, and mortality</w:t>
      </w:r>
      <w:r w:rsidR="00C9324A">
        <w:rPr>
          <w:rFonts w:ascii="Garamond" w:hAnsi="Garamond" w:hint="eastAsia"/>
          <w:lang w:eastAsia="ko-KR"/>
        </w:rPr>
        <w:t xml:space="preserve"> </w:t>
      </w:r>
      <w:r w:rsidR="00C9324A">
        <w:rPr>
          <w:rFonts w:ascii="Garamond" w:hAnsi="Garamond"/>
          <w:lang w:eastAsia="ko-KR"/>
        </w:rPr>
        <w:fldChar w:fldCharType="begin"/>
      </w:r>
      <w:r w:rsidR="005548B3">
        <w:rPr>
          <w:rFonts w:ascii="Garamond" w:hAnsi="Garamond"/>
          <w:lang w:eastAsia="ko-KR"/>
        </w:rPr>
        <w:instrText xml:space="preserve"> ADDIN ZOTERO_ITEM CSL_CITATION {"citationID":"CUEdEmHf","properties":{"unsorted":false,"formattedCitation":"[4\\uc0\\u8211{}11]","plainCitation":"[4–11]","noteIndex":0},"citationItems":[{"id":27450,"uris":["http://zotero.org/users/7595310/items/K4TRAH2E"],"itemData":{"id":27450,"type":"article-journal","abstract":"BACKGROUND: Firearm-related injury in children is a public health crisis. The Social Vulnerability Index (SVI) identifies communities at risk for adverse effects due to natural or human-caused crises. We sought to determine if SVI was associated with pediatric firearm-related injury and thus could assist in prevention planning.\nMETHODS: The Centers for Disease Control and Prevention's 2018 SVI data were merged on census tract with 2015 to 2022 open-access shooting incident data in children 19 years or younger from Baltimore, Chicago, Los Angeles, New York City, and Philadelphia. Regression analyses were performed to uncover associations between firearm violence, SVI, SVI themes, and social factors at the census tract level.\nRESULTS: Of 11,654 shooting incidents involving children, 52% occurred in just 6.7% of census tracts, which were on average in the highest quartile of SVI. A decile increase in SVI was associated with a 45% increase in pediatric firearm-related injury in all cities combined (incidence rate ratio, 1.45; 95% confidence interval, 1.41-1.49; p &lt; 0.001). A similar relationship was found in each city: 30% in Baltimore, 51% in Chicago, 29% in Los Angeles, 37% in New York City, and 35% in Philadelphia (all p &lt; 0.001). Socioeconomic status and household composition were SVI themes positively associated with shootings in children, as well as the social factors below poverty, lacking a high school diploma, civilian with a disability, single-parent household, minority, and no vehicle access. Living in areas with multi-unit structures, populations 17 years or younger, and speaking English less than well were negatively associated.\nCONCLUSION: Geospatial disparities exist in pediatric firearm-related injury and are significantly associated with neighborhood vulnerability. We demonstrate a strong association between SVI and pediatric shooting incidents in multiple major US cities. Social Vulnerability Index can help identify social and structural factors, as well as geographic areas, to assist in developing meaningful and targeted intervention and prevention efforts.\nLEVEL OF EVIDENCE: Prognostic and Epidemiological; Level III.","citation-key":"polcari_2023_jtraumaacutecaresurg","container-title":"The Journal of Trauma and Acute Care Surgery","DOI":"10.1097/TA.0000000000003896","ISSN":"2163-0763","issue":"3","journalAbbreviation":"J Trauma Acute Care Surg","language":"eng","page":"411-418","PMID":"36850025","source":"PubMed","title":"Social vulnerability index is strongly associated with urban pediatric firearm violence: An analysis of five major US cities","title-short":"Social vulnerability index is strongly associated with urban pediatric firearm violence","volume":"95","author":[{"family":"Polcari","given":"Ann M."},{"family":"Hoefer","given":"Lea E."},{"family":"Callier","given":"Kylie M."},{"family":"Zakrison","given":"Tanya L."},{"family":"Rogers","given":"Selwyn O."},{"family":"Henry","given":"Marion C. W."},{"family":"Slidell","given":"Mark B."},{"family":"Benjamin","given":"Andrew J."}],"issued":{"date-parts":[["2023",9,1]]}}},{"id":27475,"uris":["http://zotero.org/users/7595310/items/2STCCVQD"],"itemData":{"id":27475,"type":"article-journal","abstract":"BACKGROUND: Firearm injuries' association with individual-level socioeconomic risk is well described. Trauma research has suggested that neighborhood level risk factors may be associated with differences in firearm injury outcome. We analyzed the relationship between hospital length of stay (LOS), mortality and neighborhood level social markers from the Center for Disease Control (CDC) Social Vulnerability Index (SVI) after firearm injury.\nMATERIALS AND METHODS: We used the Healthcare Cost and Utilization Project (HCUP) State Inpatient Database (SID) in 2016 to identify firearm injuries using ICD-10 E-codes. Patient locations were identified at the census tract level. The 2016 CDC SVI was used to evaluate neighborhood level social vulnerability. Logistic and linear multivariable regression were used to evaluate the association between SVI percentile rank, mortality, and LOS.\nRESULTS: We identified 9,764 cases of firearm injury in our database; 88.2% of individuals were male, and the average age was 33.8 years. Assault was the most common intent, accounting for 4682 (48.0%) of all admissions. Overall, SVI was correlated with the risk of firearm injury, but not associated with either outcome of length of stay or risk of death.\nCONCLUSIONS: While there is significant disparity between SVI and risk of firearm injury, once admitted to the hospital outcomes are similar between low and high-vulnerable populations. To reduce disparities in risk, funding and effort should focus on primary prevention.","citation-key":"spitzer_2022_surgpractsci","container-title":"Surgery in Practice and Science","DOI":"10.1016/j.sipas.2022.100130","ISSN":"2666-2620","journalAbbreviation":"Surg Pract Sci","language":"eng","page":"100130","PMID":"39845167","PMCID":"PMC11749173","source":"PubMed","title":"Social vulnerability index and firearms: How neighborhood health disparities affect trauma outcomes","title-short":"Social vulnerability index and firearms","volume":"11","author":[{"family":"Spitzer","given":"Sarabeth"},{"family":"Castillo-Angeles","given":"Manuel"},{"family":"Thomas","given":"Arielle"},{"family":"Hey","given":"Matthew"},{"family":"D'Souza","given":"Karan"},{"family":"Jarman","given":"Molly P."},{"family":"Anderson","given":"Geoffrey A."}],"issued":{"date-parts":[["2022",12]]}}},{"id":27438,"uris":["http://zotero.org/users/7595310/items/QMKCUYCD"],"itemData":{"id":27438,"type":"article-journal","abstract":"Introduction\nGun violence (GV), acknowledged as a public health crisis, disproportionately affects urban centers in the United States. However, the precise connections between social factors and GV are not fully understood. This study, leveraging the Cardiff Model approach, evaluates whether there is a statistical and geospatial relationship between social vulnerability index (SVI) and GV.\nMethods\nIn this cross-sectional study, we combined Gun Violence Archive (GVA), a dataset of firearm violence (2019–2023), with corresponding census tract level SVIs for three selected cities—Atlanta, GA; St. Louis, MO; and Washington, DC. The GVA was created, due to gaps in government-based data, from daily public records and media by an independent data collection group. Also, the SVI, derived from a place-based index from Centers for Disease Control (CDC), was originally used to evaluate the resiliency of communities to recover from socio-environmental stressors. GV data from these three cities, representative of major urban centers in the United States, were used to conduct various analyses. We used Poisson regression to assess whether nine of the sixteen SVI measures were statistically associated with GV incidents. Furthermore, we examined whether spatial relationships between SVI and GV differ by level of concentrated disadvantage in urban neighborhoods.\nResults\nOut of all GV incidents (10,442), corresponding to 488 census tracts, teenagers ages 12–17 were found to have higher GV rates in St. Louis (12</w:instrText>
      </w:r>
      <w:r w:rsidR="005548B3">
        <w:rPr>
          <w:rFonts w:ascii="Arial" w:hAnsi="Arial" w:cs="Arial"/>
          <w:lang w:eastAsia="ko-KR"/>
        </w:rPr>
        <w:instrText> </w:instrText>
      </w:r>
      <w:r w:rsidR="005548B3">
        <w:rPr>
          <w:rFonts w:ascii="Garamond" w:hAnsi="Garamond"/>
          <w:lang w:eastAsia="ko-KR"/>
        </w:rPr>
        <w:instrText>%) than Atlanta (7.6</w:instrText>
      </w:r>
      <w:r w:rsidR="005548B3">
        <w:rPr>
          <w:rFonts w:ascii="Arial" w:hAnsi="Arial" w:cs="Arial"/>
          <w:lang w:eastAsia="ko-KR"/>
        </w:rPr>
        <w:instrText> </w:instrText>
      </w:r>
      <w:r w:rsidR="005548B3">
        <w:rPr>
          <w:rFonts w:ascii="Garamond" w:hAnsi="Garamond"/>
          <w:lang w:eastAsia="ko-KR"/>
        </w:rPr>
        <w:instrText>%) and Washington DC (10.5</w:instrText>
      </w:r>
      <w:r w:rsidR="005548B3">
        <w:rPr>
          <w:rFonts w:ascii="Arial" w:hAnsi="Arial" w:cs="Arial"/>
          <w:lang w:eastAsia="ko-KR"/>
        </w:rPr>
        <w:instrText> </w:instrText>
      </w:r>
      <w:r w:rsidR="005548B3">
        <w:rPr>
          <w:rFonts w:ascii="Garamond" w:hAnsi="Garamond"/>
          <w:lang w:eastAsia="ko-KR"/>
        </w:rPr>
        <w:instrText>%). Children, ages 0</w:instrText>
      </w:r>
      <w:r w:rsidR="005548B3">
        <w:rPr>
          <w:rFonts w:ascii="Garamond" w:hAnsi="Garamond" w:cs="Garamond"/>
          <w:lang w:eastAsia="ko-KR"/>
        </w:rPr>
        <w:instrText>–</w:instrText>
      </w:r>
      <w:r w:rsidR="005548B3">
        <w:rPr>
          <w:rFonts w:ascii="Garamond" w:hAnsi="Garamond"/>
          <w:lang w:eastAsia="ko-KR"/>
        </w:rPr>
        <w:instrText>11, in St. Louis (3.1</w:instrText>
      </w:r>
      <w:r w:rsidR="005548B3">
        <w:rPr>
          <w:rFonts w:ascii="Arial" w:hAnsi="Arial" w:cs="Arial"/>
          <w:lang w:eastAsia="ko-KR"/>
        </w:rPr>
        <w:instrText> </w:instrText>
      </w:r>
      <w:r w:rsidR="005548B3">
        <w:rPr>
          <w:rFonts w:ascii="Garamond" w:hAnsi="Garamond"/>
          <w:lang w:eastAsia="ko-KR"/>
        </w:rPr>
        <w:instrText>%) were involved in more GV incidents than the other two (Washington DC-1.2</w:instrText>
      </w:r>
      <w:r w:rsidR="005548B3">
        <w:rPr>
          <w:rFonts w:ascii="Arial" w:hAnsi="Arial" w:cs="Arial"/>
          <w:lang w:eastAsia="ko-KR"/>
        </w:rPr>
        <w:instrText> </w:instrText>
      </w:r>
      <w:r w:rsidR="005548B3">
        <w:rPr>
          <w:rFonts w:ascii="Garamond" w:hAnsi="Garamond"/>
          <w:lang w:eastAsia="ko-KR"/>
        </w:rPr>
        <w:instrText>% and Atlanta-2.3</w:instrText>
      </w:r>
      <w:r w:rsidR="005548B3">
        <w:rPr>
          <w:rFonts w:ascii="Arial" w:hAnsi="Arial" w:cs="Arial"/>
          <w:lang w:eastAsia="ko-KR"/>
        </w:rPr>
        <w:instrText> </w:instrText>
      </w:r>
      <w:r w:rsidR="005548B3">
        <w:rPr>
          <w:rFonts w:ascii="Garamond" w:hAnsi="Garamond"/>
          <w:lang w:eastAsia="ko-KR"/>
        </w:rPr>
        <w:instrText>%) cities. In the composite model, census tract-level SVIs were statistically significantly associated with GV. Some of the most prominent SVIs, viewed as predictors of GV, included racial-ethnic minority [Incidence Rate Ratio (IRR): 1.02, 95</w:instrText>
      </w:r>
      <w:r w:rsidR="005548B3">
        <w:rPr>
          <w:rFonts w:ascii="Arial" w:hAnsi="Arial" w:cs="Arial"/>
          <w:lang w:eastAsia="ko-KR"/>
        </w:rPr>
        <w:instrText> </w:instrText>
      </w:r>
      <w:r w:rsidR="005548B3">
        <w:rPr>
          <w:rFonts w:ascii="Garamond" w:hAnsi="Garamond"/>
          <w:lang w:eastAsia="ko-KR"/>
        </w:rPr>
        <w:instrText>% CI: 1.01</w:instrText>
      </w:r>
      <w:r w:rsidR="005548B3">
        <w:rPr>
          <w:rFonts w:ascii="Garamond" w:hAnsi="Garamond" w:cs="Garamond"/>
          <w:lang w:eastAsia="ko-KR"/>
        </w:rPr>
        <w:instrText>–</w:instrText>
      </w:r>
      <w:r w:rsidR="005548B3">
        <w:rPr>
          <w:rFonts w:ascii="Garamond" w:hAnsi="Garamond"/>
          <w:lang w:eastAsia="ko-KR"/>
        </w:rPr>
        <w:instrText>1.02, p&lt;0.001], 150</w:instrText>
      </w:r>
      <w:r w:rsidR="005548B3">
        <w:rPr>
          <w:rFonts w:ascii="Arial" w:hAnsi="Arial" w:cs="Arial"/>
          <w:lang w:eastAsia="ko-KR"/>
        </w:rPr>
        <w:instrText> </w:instrText>
      </w:r>
      <w:r w:rsidR="005548B3">
        <w:rPr>
          <w:rFonts w:ascii="Garamond" w:hAnsi="Garamond"/>
          <w:lang w:eastAsia="ko-KR"/>
        </w:rPr>
        <w:instrText>% of Federal Poverty Level (FPL) [IRR: 1.00, 95</w:instrText>
      </w:r>
      <w:r w:rsidR="005548B3">
        <w:rPr>
          <w:rFonts w:ascii="Arial" w:hAnsi="Arial" w:cs="Arial"/>
          <w:lang w:eastAsia="ko-KR"/>
        </w:rPr>
        <w:instrText> </w:instrText>
      </w:r>
      <w:r w:rsidR="005548B3">
        <w:rPr>
          <w:rFonts w:ascii="Garamond" w:hAnsi="Garamond"/>
          <w:lang w:eastAsia="ko-KR"/>
        </w:rPr>
        <w:instrText>% CI: 1.00</w:instrText>
      </w:r>
      <w:r w:rsidR="005548B3">
        <w:rPr>
          <w:rFonts w:ascii="Garamond" w:hAnsi="Garamond" w:cs="Garamond"/>
          <w:lang w:eastAsia="ko-KR"/>
        </w:rPr>
        <w:instrText>–</w:instrText>
      </w:r>
      <w:r w:rsidR="005548B3">
        <w:rPr>
          <w:rFonts w:ascii="Garamond" w:hAnsi="Garamond"/>
          <w:lang w:eastAsia="ko-KR"/>
        </w:rPr>
        <w:instrText>1.01, p&lt;0.001], and unemployment (IRR: 1.01, p&lt;0.001). Also, many of the SVI variables were found to be significantly associated with GV incidents in each of the three selected cities.\nConclusions\nIn this original study, we found that there was a strong statistically significant association between SVI-related disadvantaged neighborhoods and increased GV incidents. Additionally, we found that the geospatial distribution of GV incidents were more concentrated in neighborhoods with increased vulnerability throughout the three (Atlanta, GA; St. Louis, MO; and Washington, DC) selected cities than those neighborhoods with decreased vulnerability. Unique approaches such as integration of the SVI with gun control legislation, which informs ownership, use, and access to firearms, provides a better strategy to inform the implementation of an interdisciplinary approach such as the Cardiff Model. GV policy reform, from the public health and criminology lens, would help reduce the prevalence of GV through the promotion of social resilience within communities.","citation-key":"mcmillan_2024_journalofmedicinesurgeryandpublichealth","container-title":"Journal of Medicine, Surgery, and Public Health","DOI":"10.1016/j.glmedi.2024.100155","ISSN":"2949-916X","journalAbbreviation":"Journal of Medicine, Surgery, and Public Health","page":"100155","source":"ScienceDirect","title":"Social factors related to gun violence in urban united states","volume":"4","author":[{"family":"McMillan","given":"Joseph A."},{"family":"Banerjee","given":"Sri"},{"family":"Gonzales-Lagos","given":"Rafael"},{"family":"Harris","given":"Wayne"}],"issued":{"date-parts":[["2024",12,1]]}}},{"id":27430,"uris":["http://zotero.org/users/7595310/items/8AF943NA"],"itemData":{"id":27430,"type":"article-journal","abstract":"IMPORTANCE: Firearm-related injuries are the leading cause of death among children and adolescents in the US. For youths aged 10 to 19 years, 64% of firearm-related deaths are due to assault. Understanding the association between the rate of death due to assault-related firearm injury and both community-level vulnerability and state-level gun laws may inform prevention efforts and public health policy.\nOBJECTIVE: To assess the rate of death due to assault-related firearm injury stratified by community-level social vulnerability and state-level gun laws in a national cohort of youths aged 10 to 19 years.\nDESIGN, SETTING, AND PARTICIPANTS: This national cross-sectional study used the Gun Violence Archive to identify all assault-related firearm deaths among youths aged 10 to 19 years occurring in the US between January 1, 2020, and June 30, 2022.\nEXPOSURE: Census tract-level social vulnerability (measured by the Centers for Disease Control and Prevention social vulnerability index [SVI]; categorized in quartiles as low [&lt;25th percentile], moderate [25th-50th percentile], high [51st-75th percentile], or very high [&gt;75th percentile]) and state-level gun laws (measured by the Giffords Law Center gun law scorecard rating; categorized as restrictive, moderate, or permissive).\nMAIN OUTCOMES AND MEASURES: Youth death rate (per 100 000 person-years) due to assault-related firearm injury.\nRESULTS: Among 5813 youths aged 10 to 19 years who died of an assault-related firearm injury over the 2.5-year study period, the mean (SD) age was 17.1 (1.9) years, and 4979 (85.7%) were male. The death rate per 100</w:instrText>
      </w:r>
      <w:r w:rsidR="005548B3">
        <w:rPr>
          <w:rFonts w:ascii="Arial" w:hAnsi="Arial" w:cs="Arial"/>
          <w:lang w:eastAsia="ko-KR"/>
        </w:rPr>
        <w:instrText> </w:instrText>
      </w:r>
      <w:r w:rsidR="005548B3">
        <w:rPr>
          <w:rFonts w:ascii="Garamond" w:hAnsi="Garamond"/>
          <w:lang w:eastAsia="ko-KR"/>
        </w:rPr>
        <w:instrText>000 person-years in the low SVI cohort was 1.2 compared with 2.5 in the moderate SVI cohort, 5.2 in the high SVI cohort, and 13.3 in the very high SVI cohort. The mortality rate ratio of the very high SVI cohort compared with the low SVI cohort was 11.43 (95% CI, 10.17-12.88). When further stratifying deaths by the Giffords Law Center state-level gun law scorecard rating, the stepwise increase in death rate (per 100 000 person-years) with increasing SVI persisted, regardless of whether the Census tract was in a state with restrictive gun laws (0.83 in the low SVI cohort vs 10.11 in the very high SVI cohort), moderate gun laws (0.81 in the low SVI cohort vs 13.18 in the very high SVI cohort), or permissive gun laws (1.68 in the low SVI cohort vs 16.03 in the very high SVI cohort). The death rate per 100 000 person-years was higher for each SVI category in states with permissive compared with restrictive gun laws (eg, moderate SVI: 3.37 vs 1.71; high SVI: 6.33 vs 3.78).\nCONCLUSIONS AND RELEVANCE: In this study, socially vulnerable communities in the US experienced a disproportionate number of assault-related firearm deaths among youths. Although stricter gun laws were associated with lower death rates in all communities, these gun laws did not equalize the consequences on a relative scale, and disadvantaged communities remained disproportionately impacted. While legislation is necessary, it may not be sufficient to solve the problem of assault-related firearm deaths among children and adolescents.","citation-key":"kwon_2023_jamanetwopen","container-title":"JAMA network open","DOI":"10.1001/jamanetworkopen.2023.14863","ISSN":"2574-3805","issue":"5","journalAbbreviation":"JAMA Netw Open","language":"eng","page":"e2314863","PMID":"37223901","PMCID":"PMC10209744","source":"PubMed","title":"Association of community vulnerability and state gun laws with firearm deaths in children and adolescents aged 10 to 19 years","volume":"6","author":[{"family":"Kwon","given":"Eustina G."},{"family":"Rice-Townsend","given":"Samuel E."},{"family":"Agoubi","given":"Lauren L."},{"family":"Rowhani-Rahbar","given":"Ali"},{"family":"Nehra","given":"Deepika"}],"issued":{"date-parts":[["2023",5,1]]}}},{"id":27414,"uris":["http://zotero.org/users/7595310/items/K5IK7YVL"],"itemData":{"id":27414,"type":"article-journal","citation-key":"duncan_2024_injury","container-title":"Injury","DOI":"10.1016/j.injury.2024.112016","ISSN":"00201383","issue":"12","journalAbbreviation":"Injury","language":"en","page":"112016","source":"DOI.org (Crossref)","title":"“Utility of social vulnerability index in trauma: A systematic review”","title-short":"“Utility of social vulnerability index in trauma","volume":"55","author":[{"family":"Duncan","given":"Anthony J."},{"family":"Bloomsburg","given":"Samuel J."},{"family":"Ahmeti","given":"Mentor"}],"issued":{"date-parts":[["2024",12]]}}},{"id":27478,"uris":["http://zotero.org/users/7595310/items/6DK832DG"],"itemData":{"id":27478,"type":"article-journal","abstract":"BACKGROUND: Firearm violence is a significant public health issue. However, it is unclear if there is an association between the Social Vulnerability Index (SVI) and the intent of both fatal and nonfatal firearm injuries, and if these associations are modified by community race and ethnic composition. This study examines the association between community-level social vulnerability and firearm injury incidence in North Carolina (NC) using 2021-2022 emergency medical services (EMS) data. Additionally, it investigates how these associations vary by the intent of injury (assault, self-inflicted, and unintentional), and whether they are modified by community racial/ethnic composition.\nMETHODS: This cross-sectional study utilized NC EMS data, capturing firearm incidents from January 1, 2021, to December 31, 2022. The SVI from the Centers for Disease Control and Prevention (CDC) was used to assess community-level vulnerability. The SVI's racial/ethnic minority status component was removed for stratification analysis. Firearm injury rates were calculated per 100,000 population, and negative binomial regression models were used to estimate Incidence Rate Ratios (IRRs) for different SVI levels and intents of firearm injuries.\nRESULTS: During the study period, we identified 7,250 EMS encounters at non-healthcare locations related to firearm injuries, encompassing 2,648 NC census tracts. Assault was the leading cause of firearm injuries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3,799), followed by self-inflicted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1,498), and unintentional injuries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 xml:space="preserve">722). High-SVI communities had significantly higher rates of firearm injuries compared to low-SVI communities, particularly for assault-related injuries. When the minority status component was excluded from SVI, racial/ethnic minority status emerged as a significant modifier, with higher rates of firearm injuries being observed in communities with larger racial/ethnic minority populations.\nCONCLUSION: Community-level social vulnerability is significantly associated with firearm injury incidence, with the effect being more pronounced in racial/ethnic minority communities. These findings underscore the need for targeted public health interventions that address underlying social determinants of health (e.g., access to education) to reduce firearm violence. Future research should further explore the intersection of social vulnerability and racial/ethnic composition to develop effective prevention strategies.","citation-key":"tang_2024_injepidemiol","container-title":"Injury Epidemiology","DOI":"10.1186/s40621-024-00539-9","ISSN":"2197-1714","issue":"1","journalAbbreviation":"Inj Epidemiol","language":"eng","page":"58","PMID":"39456088","PMCID":"PMC11515109","source":"PubMed","title":"Using EMS data to explore community-level factors associated with firearm violence in north carolina","volume":"11","author":[{"family":"Tang","given":"Yuni"},{"family":"Taylor","given":"Nandi L."},{"family":"Neuroth","given":"Lucas M."},{"family":"Higgins","given":"Kathleen A."},{"family":"Waller","given":"Anna E."},{"family":"Marshall","given":"Stephen W."},{"family":"Harmon","given":"Katherine J."}],"issued":{"date-parts":[["2024",10,25]]}}},{"id":27434,"uris":["http://zotero.org/users/7595310/items/ZIILJRBL"],"itemData":{"id":27434,"type":"article-journal","abstract":"OBJECTIVE: To describe adolescent injuries by the community-level social vulnerability, focusing on injuries related to interpersonal violence.\nBACKGROUND: The Center for Disease Control and Prevention's social vulnerability index (SVI) is a tool used to characterize community-level vulnerability.\nMETHODS: Injured adolescent trauma patients (13-17 years old) cared for at a large Level I trauma center over a 10-year period were identified. Injuries were classified by intent as either intentional or unintentional. Census tract level SVI was calculated by composite score and for 4 subindex scores (socioeconomic, household composition/disability, minority/language, housing type/transportation). Patients were stratified by SVI quartile with the lowest quartile designated as low-, the middle two quartiles as average-, and the highest quartile as high vulnerability. The primary outcome was odds of intentional injury. Demographic and injury characteristics were compared by SVI and intent. Multivariable logistic regression was used to estimate the adjusted odds of intentional injury associated with SVI.\nRESULTS: A total of 1993 injured adolescent patients (1676 unintentional and 317 intentional) were included. The composite SVI was higher in the intentional injury cohort (mean, SD: 66.7, 27.8 vs. 50.5, 30.2; P &lt; 0.001) as was each subindex SVI. The high SVI cohort comprised 31% of the study population, 49% of intentional injuries, and 51% of deaths. The high SVI cohort had significantly increased unadjusted (odds ratio, 4.5; 95% confidence interval, 3.0-6.6) and adjusted (odds ratio, 1.8; 95% confidence interval, 1.6-2.8) odds of intentional injury.\nCONCLUSIONS: Adolescents living in the highest SVI areas experience significantly higher odds of intentional injury. SVI and SVI subindex details may provide direction for community-level interventions to decrease the impact of violent injury among adolescents.","citation-key":"kwon_2023_annsurgopen","container-title":"Annals of Surgery Open: Perspectives of Surgical History, Education, and Clinical Approaches","DOI":"10.1097/AS9.0000000000000287","ISSN":"2691-3593","issue":"2","journalAbbreviation":"Ann Surg Open","language":"eng","page":"e287","PMID":"37601470","PMCID":"PMC10431479","source":"PubMed","title":"Community-level social vulnerability and patterns of adolescent injury","volume":"4","author":[{"family":"Kwon","given":"Eustina G."},{"family":"Herrera-Escobar","given":"Juan P."},{"family":"Bulger","given":"Eileen M."},{"family":"Rice-Townsend","given":"Samuel E."},{"family":"Nehra","given":"Deepika"}],"issued":{"date-parts":[["2023",6]]}}},{"id":27483,"uris":["http://zotero.org/users/7595310/items/IE9NEE2C"],"itemData":{"id":27483,"type":"article-journal","abstract":"This report describes firearm injury emergency department visits ..","citation-key":"dyke_2022_mmwrmorbmortalwklyrep","container-title":"MMWR. Morbidity and Mortality Weekly Report","DOI":"10.15585/mmwr.mm7127a1","ISSN":"0149-21951545-861X","journalAbbreviation":"MMWR Morb Mortal Wkly Rep","language":"en-us","source":"www.cdc.gov","title":"County-level social vulnerability and emergency department visits for firearm injuries — 10 U.S. jurisdictions, january 1, 2018–december 31, 2021","URL":"https://www.cdc.gov/mmwr/volumes/71/wr/mm7127a1.htm","volume":"71","author":[{"family":"Van Dyke","given":"Miriam E."}],"accessed":{"date-parts":[["2026",6,2]]},"issued":{"date-parts":[["2022"]]}}}],"schema":"https://github.com/citation-style-language/schema/raw/master/csl-citation.json"} </w:instrText>
      </w:r>
      <w:r w:rsidR="00C9324A">
        <w:rPr>
          <w:rFonts w:ascii="Garamond" w:hAnsi="Garamond"/>
          <w:lang w:eastAsia="ko-KR"/>
        </w:rPr>
        <w:fldChar w:fldCharType="separate"/>
      </w:r>
      <w:r w:rsidR="005548B3" w:rsidRPr="005548B3">
        <w:rPr>
          <w:rFonts w:ascii="Garamond" w:hAnsi="Garamond" w:cs="Times New Roman"/>
          <w:kern w:val="0"/>
        </w:rPr>
        <w:t>[4–11]</w:t>
      </w:r>
      <w:r w:rsidR="00C9324A">
        <w:rPr>
          <w:rFonts w:ascii="Garamond" w:hAnsi="Garamond"/>
          <w:lang w:eastAsia="ko-KR"/>
        </w:rPr>
        <w:fldChar w:fldCharType="end"/>
      </w:r>
      <w:r w:rsidRPr="002159D4">
        <w:rPr>
          <w:rFonts w:ascii="Garamond" w:hAnsi="Garamond"/>
        </w:rPr>
        <w:t xml:space="preserve">. </w:t>
      </w:r>
      <w:r w:rsidRPr="00C9433E">
        <w:rPr>
          <w:rFonts w:ascii="Garamond" w:hAnsi="Garamond"/>
        </w:rPr>
        <w:t xml:space="preserve">Despite this robust literature, there remains little consensus about what the SVI is </w:t>
      </w:r>
      <w:proofErr w:type="gramStart"/>
      <w:r w:rsidRPr="00C9433E">
        <w:rPr>
          <w:rFonts w:ascii="Garamond" w:hAnsi="Garamond"/>
        </w:rPr>
        <w:t>actually designed</w:t>
      </w:r>
      <w:proofErr w:type="gramEnd"/>
      <w:r w:rsidRPr="00C9433E">
        <w:rPr>
          <w:rFonts w:ascii="Garamond" w:hAnsi="Garamond"/>
        </w:rPr>
        <w:t xml:space="preserve"> to measure</w:t>
      </w:r>
      <w:r w:rsidR="00947355">
        <w:rPr>
          <w:rFonts w:ascii="Garamond" w:hAnsi="Garamond"/>
        </w:rPr>
        <w:t xml:space="preserve"> </w:t>
      </w:r>
      <w:r w:rsidRPr="00C9433E">
        <w:rPr>
          <w:rFonts w:ascii="Garamond" w:hAnsi="Garamond"/>
        </w:rPr>
        <w:t xml:space="preserve">or, by extension, the mechanisms linking it to firearm violence. The SVI has been used to represent concepts </w:t>
      </w:r>
      <w:r w:rsidRPr="00C9433E">
        <w:rPr>
          <w:rFonts w:ascii="Garamond" w:hAnsi="Garamond"/>
        </w:rPr>
        <w:lastRenderedPageBreak/>
        <w:t>as varied as “social determinants of health”</w:t>
      </w:r>
      <w:r w:rsidR="00451062">
        <w:rPr>
          <w:rFonts w:ascii="Garamond" w:hAnsi="Garamond" w:hint="eastAsia"/>
          <w:lang w:eastAsia="ko-KR"/>
        </w:rPr>
        <w:t xml:space="preserve"> </w:t>
      </w:r>
      <w:r w:rsidR="00451062">
        <w:rPr>
          <w:rFonts w:ascii="Garamond" w:hAnsi="Garamond"/>
          <w:lang w:eastAsia="ko-KR"/>
        </w:rPr>
        <w:fldChar w:fldCharType="begin"/>
      </w:r>
      <w:r w:rsidR="005548B3">
        <w:rPr>
          <w:rFonts w:ascii="Garamond" w:hAnsi="Garamond"/>
          <w:lang w:eastAsia="ko-KR"/>
        </w:rPr>
        <w:instrText xml:space="preserve"> ADDIN ZOTERO_ITEM CSL_CITATION {"citationID":"cNhOvFSb","properties":{"unsorted":false,"formattedCitation":"[5,7,9,12]","plainCitation":"[5,7,9,12]","noteIndex":0},"citationItems":[{"id":27475,"uris":["http://zotero.org/users/7595310/items/2STCCVQD"],"itemData":{"id":27475,"type":"article-journal","abstract":"BACKGROUND: Firearm injuries' association with individual-level socioeconomic risk is well described. Trauma research has suggested that neighborhood level risk factors may be associated with differences in firearm injury outcome. We analyzed the relationship between hospital length of stay (LOS), mortality and neighborhood level social markers from the Center for Disease Control (CDC) Social Vulnerability Index (SVI) after firearm injury.\nMATERIALS AND METHODS: We used the Healthcare Cost and Utilization Project (HCUP) State Inpatient Database (SID) in 2016 to identify firearm injuries using ICD-10 E-codes. Patient locations were identified at the census tract level. The 2016 CDC SVI was used to evaluate neighborhood level social vulnerability. Logistic and linear multivariable regression were used to evaluate the association between SVI percentile rank, mortality, and LOS.\nRESULTS: We identified 9,764 cases of firearm injury in our database; 88.2% of individuals were male, and the average age was 33.8 years. Assault was the most common intent, accounting for 4682 (48.0%) of all admissions. Overall, SVI was correlated with the risk of firearm injury, but not associated with either outcome of length of stay or risk of death.\nCONCLUSIONS: While there is significant disparity between SVI and risk of firearm injury, once admitted to the hospital outcomes are similar between low and high-vulnerable populations. To reduce disparities in risk, funding and effort should focus on primary prevention.","citation-key":"spitzer_2022_surgpractsci","container-title":"Surgery in Practice and Science","DOI":"10.1016/j.sipas.2022.100130","ISSN":"2666-2620","journalAbbreviation":"Surg Pract Sci","language":"eng","page":"100130","PMID":"39845167","PMCID":"PMC11749173","source":"PubMed","title":"Social vulnerability index and firearms: How neighborhood health disparities affect trauma outcomes","title-short":"Social vulnerability index and firearms","volume":"11","author":[{"family":"Spitzer","given":"Sarabeth"},{"family":"Castillo-Angeles","given":"Manuel"},{"family":"Thomas","given":"Arielle"},{"family":"Hey","given":"Matthew"},{"family":"D'Souza","given":"Karan"},{"family":"Jarman","given":"Molly P."},{"family":"Anderson","given":"Geoffrey A."}],"issued":{"date-parts":[["2022",12]]}}},{"id":27430,"uris":["http://zotero.org/users/7595310/items/8AF943NA"],"itemData":{"id":27430,"type":"article-journal","abstract":"IMPORTANCE: Firearm-related injuries are the leading cause of death among children and adolescents in the US. For youths aged 10 to 19 years, 64% of firearm-related deaths are due to assault. Understanding the association between the rate of death due to assault-related firearm injury and both community-level vulnerability and state-level gun laws may inform prevention efforts and public health policy.\nOBJECTIVE: To assess the rate of death due to assault-related firearm injury stratified by community-level social vulnerability and state-level gun laws in a national cohort of youths aged 10 to 19 years.\nDESIGN, SETTING, AND PARTICIPANTS: This national cross-sectional study used the Gun Violence Archive to identify all assault-related firearm deaths among youths aged 10 to 19 years occurring in the US between January 1, 2020, and June 30, 2022.\nEXPOSURE: Census tract-level social vulnerability (measured by the Centers for Disease Control and Prevention social vulnerability index [SVI]; categorized in quartiles as low [&lt;25th percentile], moderate [25th-50th percentile], high [51st-75th percentile], or very high [&gt;75th percentile]) and state-level gun laws (measured by the Giffords Law Center gun law scorecard rating; categorized as restrictive, moderate, or permissive).\nMAIN OUTCOMES AND MEASURES: Youth death rate (per 100 000 person-years) due to assault-related firearm injury.\nRESULTS: Among 5813 youths aged 10 to 19 years who died of an assault-related firearm injury over the 2.5-year study period, the mean (SD) age was 17.1 (1.9) years, and 4979 (85.7%) were male. The death rate per 100</w:instrText>
      </w:r>
      <w:r w:rsidR="005548B3">
        <w:rPr>
          <w:rFonts w:ascii="Arial" w:hAnsi="Arial" w:cs="Arial"/>
          <w:lang w:eastAsia="ko-KR"/>
        </w:rPr>
        <w:instrText> </w:instrText>
      </w:r>
      <w:r w:rsidR="005548B3">
        <w:rPr>
          <w:rFonts w:ascii="Garamond" w:hAnsi="Garamond"/>
          <w:lang w:eastAsia="ko-KR"/>
        </w:rPr>
        <w:instrText>000 person-years in the low SVI cohort was 1.2 compared with 2.5 in the moderate SVI cohort, 5.2 in the high SVI cohort, and 13.3 in the very high SVI cohort. The mortality rate ratio of the very high SVI cohort compared with the low SVI cohort was 11.43 (95% CI, 10.17-12.88). When further stratifying deaths by the Giffords Law Center state-level gun law scorecard rating, the stepwise increase in death rate (per 100 000 person-years) with increasing SVI persisted, regardless of whether the Census tract was in a state with restrictive gun laws (0.83 in the low SVI cohort vs 10.11 in the very high SVI cohort), moderate gun laws (0.81 in the low SVI cohort vs 13.18 in the very high SVI cohort), or permissive gun laws (1.68 in the low SVI cohort vs 16.03 in the very high SVI cohort). The death rate per 100 000 person-years was higher for each SVI category in states with permissive compared with restrictive gun laws (eg, moderate SVI: 3.37 vs 1.71; high SVI: 6.33 vs 3.78).\nCONCLUSIONS AND RELEVANCE: In this study, socially vulnerable communities in the US experienced a disproportionate number of assault-related firearm deaths among youths. Although stricter gun laws were associated with lower death rates in all communities, these gun laws did not equalize the consequences on a relative scale, and disadvantaged communities remained disproportionately impacted. While legislation is necessary, it may not be sufficient to solve the problem of assault-related firearm deaths among children and adolescents.","citation-key":"kwon_2023_jamanetwopen","container-title":"JAMA network open","DOI":"10.1001/jamanetworkopen.2023.14863","ISSN":"2574-3805","issue":"5","journalAbbreviation":"JAMA Netw Open","language":"eng","page":"e2314863","PMID":"37223901","PMCID":"PMC10209744","source":"PubMed","title":"Association of community vulnerability and state gun laws with firearm deaths in children and adolescents aged 10 to 19 years","volume":"6","author":[{"family":"Kwon","given":"Eustina G."},{"family":"Rice-Townsend","given":"Samuel E."},{"family":"Agoubi","given":"Lauren L."},{"family":"Rowhani-Rahbar","given":"Ali"},{"family":"Nehra","given":"Deepika"}],"issued":{"date-parts":[["2023",5,1]]}}},{"id":27478,"uris":["http://zotero.org/users/7595310/items/6DK832DG"],"itemData":{"id":27478,"type":"article-journal","abstract":"BACKGROUND: Firearm violence is a significant public health issue. However, it is unclear if there is an association between the Social Vulnerability Index (SVI) and the intent of both fatal and nonfatal firearm injuries, and if these associations are modified by community race and ethnic composition. This study examines the association between community-level social vulnerability and firearm injury incidence in North Carolina (NC) using 2021-2022 emergency medical services (EMS) data. Additionally, it investigates how these associations vary by the intent of injury (assault, self-inflicted, and unintentional), and whether they are modified by community racial/ethnic composition.\nMETHODS: This cross-sectional study utilized NC EMS data, capturing firearm incidents from January 1, 2021, to December 31, 2022. The SVI from the Centers for Disease Control and Prevention (CDC) was used to assess community-level vulnerability. The SVI's racial/ethnic minority status component was removed for stratification analysis. Firearm injury rates were calculated per 100,000 population, and negative binomial regression models were used to estimate Incidence Rate Ratios (IRRs) for different SVI levels and intents of firearm injuries.\nRESULTS: During the study period, we identified 7,250 EMS encounters at non-healthcare locations related to firearm injuries, encompassing 2,648 NC census tracts. Assault was the leading cause of firearm injuries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3,799), followed by self-inflicted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1,498), and unintentional injuries (n</w:instrText>
      </w:r>
      <w:r w:rsidR="005548B3">
        <w:rPr>
          <w:rFonts w:ascii="Arial" w:hAnsi="Arial" w:cs="Arial"/>
          <w:lang w:eastAsia="ko-KR"/>
        </w:rPr>
        <w:instrText> </w:instrText>
      </w:r>
      <w:r w:rsidR="005548B3">
        <w:rPr>
          <w:rFonts w:ascii="Garamond" w:hAnsi="Garamond"/>
          <w:lang w:eastAsia="ko-KR"/>
        </w:rPr>
        <w:instrText>=</w:instrText>
      </w:r>
      <w:r w:rsidR="005548B3">
        <w:rPr>
          <w:rFonts w:ascii="Arial" w:hAnsi="Arial" w:cs="Arial"/>
          <w:lang w:eastAsia="ko-KR"/>
        </w:rPr>
        <w:instrText> </w:instrText>
      </w:r>
      <w:r w:rsidR="005548B3">
        <w:rPr>
          <w:rFonts w:ascii="Garamond" w:hAnsi="Garamond"/>
          <w:lang w:eastAsia="ko-KR"/>
        </w:rPr>
        <w:instrText xml:space="preserve">722). High-SVI communities had significantly higher rates of firearm injuries compared to low-SVI communities, particularly for assault-related injuries. When the minority status component was excluded from SVI, racial/ethnic minority status emerged as a significant modifier, with higher rates of firearm injuries being observed in communities with larger racial/ethnic minority populations.\nCONCLUSION: Community-level social vulnerability is significantly associated with firearm injury incidence, with the effect being more pronounced in racial/ethnic minority communities. These findings underscore the need for targeted public health interventions that address underlying social determinants of health (e.g., access to education) to reduce firearm violence. Future research should further explore the intersection of social vulnerability and racial/ethnic composition to develop effective prevention strategies.","citation-key":"tang_2024_injepidemiol","container-title":"Injury Epidemiology","DOI":"10.1186/s40621-024-00539-9","ISSN":"2197-1714","issue":"1","journalAbbreviation":"Inj Epidemiol","language":"eng","page":"58","PMID":"39456088","PMCID":"PMC11515109","source":"PubMed","title":"Using EMS data to explore community-level factors associated with firearm violence in north carolina","volume":"11","author":[{"family":"Tang","given":"Yuni"},{"family":"Taylor","given":"Nandi L."},{"family":"Neuroth","given":"Lucas M."},{"family":"Higgins","given":"Kathleen A."},{"family":"Waller","given":"Anna E."},{"family":"Marshall","given":"Stephen W."},{"family":"Harmon","given":"Katherine J."}],"issued":{"date-parts":[["2024",10,25]]}}},{"id":27440,"uris":["http://zotero.org/users/7595310/items/CET8PFWZ"],"itemData":{"id":27440,"type":"article-journal","abstract":"BACKGROUND: Firearm injuries are the leading cause of death among children aged 0 to 17 years in the United States.\nOBJECTIVE: To examine the factors associated with recurrent firearm injury among children who presented with acute (index) nonfatal firearm injury in the St. Louis region.\nDESIGN: Multicenter, observational, cohort study.\nSETTING: 2 adult and 2 pediatric level I trauma hospitals in St. Louis, Missouri.\nPARTICIPANTS: Pediatric patients aged 0 to 17 years presenting with an index firearm injury between 2010 and 2019.\nMEASUREMENTS: From the St. Louis Region-Wide Hospital-Based Violence Intervention Program Data Repository, we collected data on firearm-injured patient demographics, hospital and diagnostic information, health insurance status, and mortality. The Social Vulnerability Index was used to characterize the social vulnerability of the census tracts of patients' residences. Analysis included descriptive statistics and time-to-event analyses estimating the cumulative incidence of experiencing a recurrent firearm injury.\nRESULTS: During the 10-year study period, 1340 children presented with an index firearm injury. Most patients were Black (87%), non-Hispanic (99%), male (84%), and between the ages of 15 and 17 years (67%). The estimated risk for firearm reinjury was 6% at 1 year and 14% at 5 years after initial injury. Male children and those seen at an adult hospital were at increased risk for reinjury.\nLIMITATION: Our data set does not account for injuries occurring outside of the study period and for reinjuries presenting to nonstudy hospitals.\nCONCLUSION: Children who experience an initial firearm injury are at high risk for experiencing a recurrent firearm injury. Interventions are needed to reduce reinjury and address inequities in the demographic and clinical profiles within this cohort of children.\nPRIMARY FUNDING SOURCE: National Institutes of Health.","citation-key":"miller_2024_anninternmed","container-title":"Annals of Internal Medicine","DOI":"10.7326/M24-0430","ISSN":"1539-3704","issue":"10","journalAbbreviation":"Ann Intern Med","language":"eng","page":"1381-1388","PMID":"39284184","PMCID":"PMC11537306","source":"PubMed","title":"Factors associated with recurrent pediatric firearm injury : a 10-year retrospective cohort analysis","title-short":"Factors associated with recurrent pediatric firearm injury","volume":"177","author":[{"family":"Miller","given":"Zoe M."},{"family":"Cooper","given":"Benjamin P."},{"family":"Lew","given":"Daphne"},{"family":"Ancona","given":"Rachel M."},{"family":"Moran","given":"Vicki"},{"family":"Behr","given":"Christopher"},{"family":"Spruce","given":"Marguerite W."},{"family":"Kranker","given":"Lindsay M."},{"family":"Mancini","given":"Michael A."},{"family":"Vogel","given":"Matt"},{"family":"Schuerer","given":"Doug J. E."},{"family":"Clukies","given":"Lindsay"},{"family":"Ranney","given":"Megan L."},{"family":"Foraker","given":"Randi E."},{"family":"Mueller","given":"Kristen L."}],"issued":{"date-parts":[["2024",10]]}}}],"schema":"https://github.com/citation-style-language/schema/raw/master/csl-citation.json"} </w:instrText>
      </w:r>
      <w:r w:rsidR="00451062">
        <w:rPr>
          <w:rFonts w:ascii="Garamond" w:hAnsi="Garamond"/>
          <w:lang w:eastAsia="ko-KR"/>
        </w:rPr>
        <w:fldChar w:fldCharType="separate"/>
      </w:r>
      <w:r w:rsidR="005548B3" w:rsidRPr="005548B3">
        <w:rPr>
          <w:rFonts w:ascii="Garamond" w:hAnsi="Garamond"/>
          <w:lang w:eastAsia="ko-KR"/>
        </w:rPr>
        <w:t>[5,7,9,12]</w:t>
      </w:r>
      <w:r w:rsidR="00451062">
        <w:rPr>
          <w:rFonts w:ascii="Garamond" w:hAnsi="Garamond"/>
          <w:lang w:eastAsia="ko-KR"/>
        </w:rPr>
        <w:fldChar w:fldCharType="end"/>
      </w:r>
      <w:r w:rsidRPr="00C9433E">
        <w:rPr>
          <w:rFonts w:ascii="Garamond" w:hAnsi="Garamond"/>
        </w:rPr>
        <w:t xml:space="preserve">, </w:t>
      </w:r>
      <w:r w:rsidR="00CE258E">
        <w:rPr>
          <w:rFonts w:ascii="Garamond" w:hAnsi="Garamond"/>
        </w:rPr>
        <w:t>socioeconomic vulnerability</w:t>
      </w:r>
      <w:r w:rsidRPr="00C9433E">
        <w:rPr>
          <w:rFonts w:ascii="Garamond" w:hAnsi="Garamond"/>
        </w:rPr>
        <w:t xml:space="preserve"> </w:t>
      </w:r>
      <w:r w:rsidR="00E806D2">
        <w:rPr>
          <w:rFonts w:ascii="Garamond" w:hAnsi="Garamond"/>
        </w:rPr>
        <w:fldChar w:fldCharType="begin"/>
      </w:r>
      <w:r w:rsidR="005548B3">
        <w:rPr>
          <w:rFonts w:ascii="Garamond" w:hAnsi="Garamond"/>
        </w:rPr>
        <w:instrText xml:space="preserve"> ADDIN ZOTERO_ITEM CSL_CITATION {"citationID":"kXyFb3rD","properties":{"unsorted":false,"formattedCitation":"[9]","plainCitation":"[9]","noteIndex":0},"citationItems":[{"id":27478,"uris":["http://zotero.org/users/7595310/items/6DK832DG"],"itemData":{"id":27478,"type":"article-journal","abstract":"BACKGROUND: Firearm violence is a significant public health issue. However, it is unclear if there is an association between the Social Vulnerability Index (SVI) and the intent of both fatal and nonfatal firearm injuries, and if these associations are modified by community race and ethnic composition. This study examines the association between community-level social vulnerability and firearm injury incidence in North Carolina (NC) using 2021-2022 emergency medical services (EMS) data. Additionally, it investigates how these associations vary by the intent of injury (assault, self-inflicted, and unintentional), and whether they are modified by community racial/ethnic composition.\nMETHODS: This cross-sectional study utilized NC EMS data, capturing firearm incidents from January 1, 2021, to December 31, 2022. The SVI from the Centers for Disease Control and Prevention (CDC) was used to assess community-level vulnerability. The SVI's racial/ethnic minority status component was removed for stratification analysis. Firearm injury rates were calculated per 100,000 population, and negative binomial regression models were used to estimate Incidence Rate Ratios (IRRs) for different SVI levels and intents of firearm injuries.\nRESULTS: During the study period, we identified 7,250 EMS encounters at non-healthcare locations related to firearm injuries, encompassing 2,648 NC census tracts. Assault was the leading cause of firearm injuries (n</w:instrText>
      </w:r>
      <w:r w:rsidR="005548B3">
        <w:rPr>
          <w:rFonts w:ascii="Arial" w:hAnsi="Arial" w:cs="Arial"/>
        </w:rPr>
        <w:instrText> </w:instrText>
      </w:r>
      <w:r w:rsidR="005548B3">
        <w:rPr>
          <w:rFonts w:ascii="Garamond" w:hAnsi="Garamond"/>
        </w:rPr>
        <w:instrText>=</w:instrText>
      </w:r>
      <w:r w:rsidR="005548B3">
        <w:rPr>
          <w:rFonts w:ascii="Arial" w:hAnsi="Arial" w:cs="Arial"/>
        </w:rPr>
        <w:instrText> </w:instrText>
      </w:r>
      <w:r w:rsidR="005548B3">
        <w:rPr>
          <w:rFonts w:ascii="Garamond" w:hAnsi="Garamond"/>
        </w:rPr>
        <w:instrText>3,799), followed by self-inflicted (n</w:instrText>
      </w:r>
      <w:r w:rsidR="005548B3">
        <w:rPr>
          <w:rFonts w:ascii="Arial" w:hAnsi="Arial" w:cs="Arial"/>
        </w:rPr>
        <w:instrText> </w:instrText>
      </w:r>
      <w:r w:rsidR="005548B3">
        <w:rPr>
          <w:rFonts w:ascii="Garamond" w:hAnsi="Garamond"/>
        </w:rPr>
        <w:instrText>=</w:instrText>
      </w:r>
      <w:r w:rsidR="005548B3">
        <w:rPr>
          <w:rFonts w:ascii="Arial" w:hAnsi="Arial" w:cs="Arial"/>
        </w:rPr>
        <w:instrText> </w:instrText>
      </w:r>
      <w:r w:rsidR="005548B3">
        <w:rPr>
          <w:rFonts w:ascii="Garamond" w:hAnsi="Garamond"/>
        </w:rPr>
        <w:instrText>1,498), and unintentional injuries (n</w:instrText>
      </w:r>
      <w:r w:rsidR="005548B3">
        <w:rPr>
          <w:rFonts w:ascii="Arial" w:hAnsi="Arial" w:cs="Arial"/>
        </w:rPr>
        <w:instrText> </w:instrText>
      </w:r>
      <w:r w:rsidR="005548B3">
        <w:rPr>
          <w:rFonts w:ascii="Garamond" w:hAnsi="Garamond"/>
        </w:rPr>
        <w:instrText>=</w:instrText>
      </w:r>
      <w:r w:rsidR="005548B3">
        <w:rPr>
          <w:rFonts w:ascii="Arial" w:hAnsi="Arial" w:cs="Arial"/>
        </w:rPr>
        <w:instrText> </w:instrText>
      </w:r>
      <w:r w:rsidR="005548B3">
        <w:rPr>
          <w:rFonts w:ascii="Garamond" w:hAnsi="Garamond"/>
        </w:rPr>
        <w:instrText xml:space="preserve">722). High-SVI communities had significantly higher rates of firearm injuries compared to low-SVI communities, particularly for assault-related injuries. When the minority status component was excluded from SVI, racial/ethnic minority status emerged as a significant modifier, with higher rates of firearm injuries being observed in communities with larger racial/ethnic minority populations.\nCONCLUSION: Community-level social vulnerability is significantly associated with firearm injury incidence, with the effect being more pronounced in racial/ethnic minority communities. These findings underscore the need for targeted public health interventions that address underlying social determinants of health (e.g., access to education) to reduce firearm violence. Future research should further explore the intersection of social vulnerability and racial/ethnic composition to develop effective prevention strategies.","citation-key":"tang_2024_injepidemiol","container-title":"Injury Epidemiology","DOI":"10.1186/s40621-024-00539-9","ISSN":"2197-1714","issue":"1","journalAbbreviation":"Inj Epidemiol","language":"eng","page":"58","PMID":"39456088","PMCID":"PMC11515109","source":"PubMed","title":"Using EMS data to explore community-level factors associated with firearm violence in north carolina","volume":"11","author":[{"family":"Tang","given":"Yuni"},{"family":"Taylor","given":"Nandi L."},{"family":"Neuroth","given":"Lucas M."},{"family":"Higgins","given":"Kathleen A."},{"family":"Waller","given":"Anna E."},{"family":"Marshall","given":"Stephen W."},{"family":"Harmon","given":"Katherine J."}],"issued":{"date-parts":[["2024",10,25]]}}}],"schema":"https://github.com/citation-style-language/schema/raw/master/csl-citation.json"} </w:instrText>
      </w:r>
      <w:r w:rsidR="00E806D2">
        <w:rPr>
          <w:rFonts w:ascii="Garamond" w:hAnsi="Garamond"/>
        </w:rPr>
        <w:fldChar w:fldCharType="separate"/>
      </w:r>
      <w:r w:rsidR="005548B3" w:rsidRPr="005548B3">
        <w:rPr>
          <w:rFonts w:ascii="Garamond" w:hAnsi="Garamond"/>
        </w:rPr>
        <w:t>[9]</w:t>
      </w:r>
      <w:r w:rsidR="00E806D2">
        <w:rPr>
          <w:rFonts w:ascii="Garamond" w:hAnsi="Garamond"/>
        </w:rPr>
        <w:fldChar w:fldCharType="end"/>
      </w:r>
      <w:r w:rsidR="00C04A11">
        <w:rPr>
          <w:rFonts w:ascii="Garamond" w:hAnsi="Garamond"/>
        </w:rPr>
        <w:t>,</w:t>
      </w:r>
      <w:r w:rsidRPr="00C9433E">
        <w:rPr>
          <w:rFonts w:ascii="Garamond" w:hAnsi="Garamond"/>
        </w:rPr>
        <w:t xml:space="preserve"> and even the </w:t>
      </w:r>
      <w:r w:rsidR="00AA40CA">
        <w:rPr>
          <w:rFonts w:ascii="Garamond" w:hAnsi="Garamond"/>
        </w:rPr>
        <w:t>neighborhood SES</w:t>
      </w:r>
      <w:r w:rsidRPr="00C9433E">
        <w:rPr>
          <w:rFonts w:ascii="Garamond" w:hAnsi="Garamond"/>
        </w:rPr>
        <w:t xml:space="preserve"> of patients presenting </w:t>
      </w:r>
      <w:r w:rsidR="006F2F36">
        <w:rPr>
          <w:rFonts w:ascii="Garamond" w:hAnsi="Garamond"/>
        </w:rPr>
        <w:t xml:space="preserve">to emergency rooms </w:t>
      </w:r>
      <w:r w:rsidRPr="00C9433E">
        <w:rPr>
          <w:rFonts w:ascii="Garamond" w:hAnsi="Garamond"/>
        </w:rPr>
        <w:t>with penetrating injuries</w:t>
      </w:r>
      <w:r w:rsidR="00E806D2">
        <w:rPr>
          <w:rFonts w:ascii="Garamond" w:hAnsi="Garamond" w:hint="eastAsia"/>
          <w:lang w:eastAsia="ko-KR"/>
        </w:rPr>
        <w:t xml:space="preserve"> </w:t>
      </w:r>
      <w:r w:rsidR="00BB6919">
        <w:rPr>
          <w:rFonts w:ascii="Garamond" w:hAnsi="Garamond"/>
          <w:lang w:eastAsia="ko-KR"/>
        </w:rPr>
        <w:fldChar w:fldCharType="begin"/>
      </w:r>
      <w:r w:rsidR="005548B3">
        <w:rPr>
          <w:rFonts w:ascii="Garamond" w:hAnsi="Garamond"/>
          <w:lang w:eastAsia="ko-KR"/>
        </w:rPr>
        <w:instrText xml:space="preserve"> ADDIN ZOTERO_ITEM CSL_CITATION {"citationID":"Z7JdlsBN","properties":{"unsorted":false,"formattedCitation":"[13]","plainCitation":"[13]","noteIndex":0},"citationItems":[{"id":27442,"uris":["http://zotero.org/users/7595310/items/D8GFFGW8"],"itemData":{"id":27442,"type":"article-journal","abstract":"BACKGROUND: Violent injury survivors are at risk for revictimization. The St. Louis area hospital-based violence intervention program (HVIP), Life Outside of Violence (LOV), is the first multisystem, region-wide HVIP in the United States.\nOBJECTIVE: To describe the LOV program during its pilot phase and evaluate violent reinjury 1 year after index injury among LOV participants.\nDESIGN: Pilot observational cohort study of violently injured patients.\nSETTING: Data were queried from the program's multisystem data repository, which contains individual encounter-level data for all violent injury visits from the 2 adult and 2 pediatric LOV-partner level 1 trauma hospitals.\nPARTICIPANTS: Patients eligible for LOV who were violently injured between 15 August 2018 and 31 December 2022 and enrolled in LOV, matched to control participants of nonenrolled LOV-eligible patients selected from the data repository using propensity score matching.\nINTERVENTION: Participation in the LOV program.\nMEASUREMENTS: Sociodemographic characteristics, predictors of LOV enrollment, and returning to a LOV partner hospital with a violent reinjury within 1 year of index injury. The probability of violent reinjury and 95% CIs were compared between LOV participants and control participants using Kaplan-Meier estimates.\nRESULTS: 233 of 3744 eligible patients enrolled in LOV. Of 198 LOV-enrolled participants matched to 388 nonenrolled control participants, Kaplan-Meier estimates for 1-year probability of reinjury were 7.6% (95% CI, 3.8% to 11.2%) among LOV participants and 7.4% (CI, 4.8% to 10.0%) in control participants.\nLIMITATION: This pilot study cannot provide precise estimates of LOV intervention efficacy.\nCONCLUSION: Although no informative evidence of differences in reinjury probability for LOV participants was seen, findings suggest that the overwhelming risk in which our patients are immersed cannot be overcome by an approach scaled for individual-level impact.\nPRIMARY FUNDING SOURCE: Missouri Foundation for Health.","citation-key":"mueller_2025_anninternmed","container-title":"Annals of Internal Medicine","DOI":"10.7326/ANNALS-24-01576","ISSN":"1539-3704","issue":"8","journalAbbreviation":"Ann Intern Med","language":"eng","page":"1116-1126","PMID":"40658952","PMCID":"PMC12379808","source":"PubMed","title":"Evaluation of a region-wide hospital-based violence intervention program : a pilot cohort study","title-short":"Evaluation of a region-wide hospital-based violence intervention program","volume":"178","author":[{"family":"Mueller","given":"Kristen L."},{"family":"Kaser","given":"Taylor M."},{"family":"Cooper","given":"Benjamin P."},{"family":"Lew","given":"Daphne"},{"family":"Moran","given":"Vicki"},{"family":"Ancona","given":"Rachel M."},{"family":"Chapman-Kramer","given":"Kateri"},{"family":"Coffey","given":"Melik"},{"family":"Page","given":"Keyria"},{"family":"Batha","given":"Abigail"},{"family":"Harris","given":"Stephanie"},{"family":"Rice-Barnes","given":"Larita"},{"family":"Williams","given":"Marsha"},{"family":"Kranker","given":"Lindsay M."},{"family":"Spruce","given":"Marguerite W."},{"family":"Behr","given":"Christopher"},{"family":"Mancini","given":"Michael A."},{"family":"Schuerer","given":"Douglas J. E."},{"family":"Clukies","given":"Lindsay D."},{"family":"Santucci","given":"Nicole"},{"family":"Trolard","given":"Anne"},{"family":"Anwuri","given":"Victoria"},{"family":"Ranney","given":"Megan L."},{"family":"Foraker","given":"Randi E."},{"family":"Vogel","given":"Matt"}],"issued":{"date-parts":[["2025",8]]}}}],"schema":"https://github.com/citation-style-language/schema/raw/master/csl-citation.json"} </w:instrText>
      </w:r>
      <w:r w:rsidR="00BB6919">
        <w:rPr>
          <w:rFonts w:ascii="Garamond" w:hAnsi="Garamond"/>
          <w:lang w:eastAsia="ko-KR"/>
        </w:rPr>
        <w:fldChar w:fldCharType="separate"/>
      </w:r>
      <w:r w:rsidR="005548B3" w:rsidRPr="005548B3">
        <w:rPr>
          <w:rFonts w:ascii="Garamond" w:hAnsi="Garamond"/>
          <w:lang w:eastAsia="ko-KR"/>
        </w:rPr>
        <w:t>[13]</w:t>
      </w:r>
      <w:r w:rsidR="00BB6919">
        <w:rPr>
          <w:rFonts w:ascii="Garamond" w:hAnsi="Garamond"/>
          <w:lang w:eastAsia="ko-KR"/>
        </w:rPr>
        <w:fldChar w:fldCharType="end"/>
      </w:r>
      <w:r w:rsidRPr="00C9433E">
        <w:rPr>
          <w:rFonts w:ascii="Garamond" w:hAnsi="Garamond"/>
        </w:rPr>
        <w:t>.</w:t>
      </w:r>
    </w:p>
    <w:p w14:paraId="41B769A8" w14:textId="73688CC7" w:rsidR="00C9433E" w:rsidRPr="00C9433E" w:rsidRDefault="00C9433E" w:rsidP="00C028DE">
      <w:pPr>
        <w:spacing w:after="0" w:line="480" w:lineRule="auto"/>
        <w:ind w:firstLine="720"/>
        <w:jc w:val="both"/>
        <w:rPr>
          <w:rFonts w:ascii="Garamond" w:hAnsi="Garamond"/>
        </w:rPr>
      </w:pPr>
      <w:r w:rsidRPr="00C9433E">
        <w:rPr>
          <w:rFonts w:ascii="Garamond" w:hAnsi="Garamond"/>
        </w:rPr>
        <w:t>Yet</w:t>
      </w:r>
      <w:r w:rsidR="0077599A">
        <w:rPr>
          <w:rFonts w:ascii="Garamond" w:hAnsi="Garamond"/>
        </w:rPr>
        <w:t>,</w:t>
      </w:r>
      <w:r w:rsidRPr="00C9433E">
        <w:rPr>
          <w:rFonts w:ascii="Garamond" w:hAnsi="Garamond"/>
        </w:rPr>
        <w:t xml:space="preserve"> the SVI is none of these things. It is</w:t>
      </w:r>
      <w:r w:rsidR="00F82C25">
        <w:rPr>
          <w:rFonts w:ascii="Garamond" w:hAnsi="Garamond"/>
        </w:rPr>
        <w:t xml:space="preserve"> </w:t>
      </w:r>
      <w:r w:rsidRPr="00C9433E">
        <w:rPr>
          <w:rFonts w:ascii="Garamond" w:hAnsi="Garamond"/>
        </w:rPr>
        <w:t xml:space="preserve">a bright-line tool developed to assess how communities </w:t>
      </w:r>
      <w:r w:rsidR="00BE49B4">
        <w:rPr>
          <w:rFonts w:ascii="Garamond" w:hAnsi="Garamond"/>
        </w:rPr>
        <w:t>may</w:t>
      </w:r>
      <w:r w:rsidRPr="00C9433E">
        <w:rPr>
          <w:rFonts w:ascii="Garamond" w:hAnsi="Garamond"/>
        </w:rPr>
        <w:t xml:space="preserve"> respond to natural disasters such as hurricanes or wildfires. The index is intended to gauge collective resilience by incorporating factors like language fragmentation, housing </w:t>
      </w:r>
      <w:r w:rsidR="005A7633" w:rsidRPr="00C9433E">
        <w:rPr>
          <w:rFonts w:ascii="Garamond" w:hAnsi="Garamond"/>
        </w:rPr>
        <w:t>density</w:t>
      </w:r>
      <w:r w:rsidRPr="00C9433E">
        <w:rPr>
          <w:rFonts w:ascii="Garamond" w:hAnsi="Garamond"/>
        </w:rPr>
        <w:t xml:space="preserve"> and quality, </w:t>
      </w:r>
      <w:r w:rsidR="004C0176">
        <w:rPr>
          <w:rFonts w:ascii="Garamond" w:hAnsi="Garamond"/>
        </w:rPr>
        <w:t>with more</w:t>
      </w:r>
      <w:r w:rsidRPr="00C9433E">
        <w:rPr>
          <w:rFonts w:ascii="Garamond" w:hAnsi="Garamond"/>
        </w:rPr>
        <w:t xml:space="preserve"> standard indicators of </w:t>
      </w:r>
      <w:r w:rsidR="004C0176">
        <w:rPr>
          <w:rFonts w:ascii="Garamond" w:hAnsi="Garamond"/>
        </w:rPr>
        <w:t xml:space="preserve">neighborhood </w:t>
      </w:r>
      <w:r w:rsidRPr="00C9433E">
        <w:rPr>
          <w:rFonts w:ascii="Garamond" w:hAnsi="Garamond"/>
        </w:rPr>
        <w:t>socioeconomic disadvantage</w:t>
      </w:r>
      <w:r w:rsidR="00C04A11">
        <w:rPr>
          <w:rFonts w:ascii="Garamond" w:hAnsi="Garamond"/>
        </w:rPr>
        <w:t xml:space="preserve"> including </w:t>
      </w:r>
      <w:r w:rsidRPr="00C9433E">
        <w:rPr>
          <w:rFonts w:ascii="Garamond" w:hAnsi="Garamond"/>
        </w:rPr>
        <w:t xml:space="preserve">poverty, single-parent households, and racial composition. Communities with higher concentrations of these factors are considered more vulnerable and in greater need of assistance </w:t>
      </w:r>
      <w:proofErr w:type="gramStart"/>
      <w:r w:rsidR="00DB0AD8">
        <w:rPr>
          <w:rFonts w:ascii="Garamond" w:hAnsi="Garamond"/>
        </w:rPr>
        <w:t xml:space="preserve">if and </w:t>
      </w:r>
      <w:r w:rsidRPr="00C9433E">
        <w:rPr>
          <w:rFonts w:ascii="Garamond" w:hAnsi="Garamond"/>
        </w:rPr>
        <w:t>when</w:t>
      </w:r>
      <w:proofErr w:type="gramEnd"/>
      <w:r w:rsidRPr="00C9433E">
        <w:rPr>
          <w:rFonts w:ascii="Garamond" w:hAnsi="Garamond"/>
        </w:rPr>
        <w:t xml:space="preserve"> disasters </w:t>
      </w:r>
      <w:r w:rsidR="00BE49B4">
        <w:rPr>
          <w:rFonts w:ascii="Garamond" w:hAnsi="Garamond"/>
        </w:rPr>
        <w:t>strike</w:t>
      </w:r>
      <w:r w:rsidRPr="00C9433E">
        <w:rPr>
          <w:rFonts w:ascii="Garamond" w:hAnsi="Garamond"/>
        </w:rPr>
        <w:t xml:space="preserve">. From a measurement perspective, however, the SVI includes items that are only weakly—or even inversely—associated with firearm violence, such as the prevalence of mobile homes or the proportion of elderly and disabled residents. To </w:t>
      </w:r>
      <w:r w:rsidR="00DB0AD8">
        <w:rPr>
          <w:rFonts w:ascii="Garamond" w:hAnsi="Garamond"/>
        </w:rPr>
        <w:t>our knowledge</w:t>
      </w:r>
      <w:r w:rsidRPr="00C9433E">
        <w:rPr>
          <w:rFonts w:ascii="Garamond" w:hAnsi="Garamond"/>
        </w:rPr>
        <w:t>, there has been no systematic effort to interrogate the SVI’s measurement properties in the context of firearm violence.</w:t>
      </w:r>
    </w:p>
    <w:p w14:paraId="739CF05F" w14:textId="20D35ACE" w:rsidR="00C9433E" w:rsidRPr="00C9433E" w:rsidRDefault="00C9433E" w:rsidP="00C028DE">
      <w:pPr>
        <w:spacing w:after="0" w:line="480" w:lineRule="auto"/>
        <w:ind w:firstLine="720"/>
        <w:jc w:val="both"/>
        <w:rPr>
          <w:rFonts w:ascii="Garamond" w:hAnsi="Garamond"/>
        </w:rPr>
      </w:pPr>
      <w:r w:rsidRPr="00C9433E">
        <w:rPr>
          <w:rFonts w:ascii="Garamond" w:hAnsi="Garamond"/>
        </w:rPr>
        <w:t xml:space="preserve">In what follows, we critically assess the utility of </w:t>
      </w:r>
      <w:r w:rsidR="00707380" w:rsidRPr="00C9433E">
        <w:rPr>
          <w:rFonts w:ascii="Garamond" w:hAnsi="Garamond"/>
        </w:rPr>
        <w:t>SVI</w:t>
      </w:r>
      <w:r w:rsidRPr="00C9433E">
        <w:rPr>
          <w:rFonts w:ascii="Garamond" w:hAnsi="Garamond"/>
        </w:rPr>
        <w:t xml:space="preserve"> as an indicator of community risk for firearm violence. Our critique proceeds in three </w:t>
      </w:r>
      <w:r w:rsidR="00BE49B4">
        <w:rPr>
          <w:rFonts w:ascii="Garamond" w:hAnsi="Garamond"/>
        </w:rPr>
        <w:t>stages</w:t>
      </w:r>
      <w:r w:rsidRPr="00C9433E">
        <w:rPr>
          <w:rFonts w:ascii="Garamond" w:hAnsi="Garamond"/>
        </w:rPr>
        <w:t xml:space="preserve">. First, as a measure of </w:t>
      </w:r>
      <w:r w:rsidRPr="00C9433E">
        <w:rPr>
          <w:rFonts w:ascii="Garamond" w:hAnsi="Garamond"/>
          <w:i/>
          <w:iCs/>
        </w:rPr>
        <w:t>resilience</w:t>
      </w:r>
      <w:r w:rsidRPr="00C9433E">
        <w:rPr>
          <w:rFonts w:ascii="Garamond" w:hAnsi="Garamond"/>
        </w:rPr>
        <w:t>, the SVI was designed to capture a community’s capacity to respond to exogenous shocks, not to predict where such shocks</w:t>
      </w:r>
      <w:r w:rsidR="0077599A">
        <w:rPr>
          <w:rFonts w:ascii="Garamond" w:hAnsi="Garamond"/>
        </w:rPr>
        <w:t xml:space="preserve"> </w:t>
      </w:r>
      <w:r w:rsidRPr="00C9433E">
        <w:rPr>
          <w:rFonts w:ascii="Garamond" w:hAnsi="Garamond"/>
        </w:rPr>
        <w:t>will occur. Using it as a predictive tool is therefore conceptually misguided. Second, much of what the SVI captures reflects the long-established relationship between socioeconomic disadvantage and violence in urban areas</w:t>
      </w:r>
      <w:r w:rsidR="00DB0AD8">
        <w:rPr>
          <w:rFonts w:ascii="Garamond" w:hAnsi="Garamond"/>
        </w:rPr>
        <w:t xml:space="preserve"> that has been observed for at least 200 years</w:t>
      </w:r>
      <w:r w:rsidR="00BB6919">
        <w:rPr>
          <w:rFonts w:ascii="Garamond" w:hAnsi="Garamond" w:hint="eastAsia"/>
          <w:lang w:eastAsia="ko-KR"/>
        </w:rPr>
        <w:t xml:space="preserve"> </w:t>
      </w:r>
      <w:r w:rsidR="00BB6919">
        <w:rPr>
          <w:rFonts w:ascii="Garamond" w:hAnsi="Garamond"/>
          <w:lang w:eastAsia="ko-KR"/>
        </w:rPr>
        <w:fldChar w:fldCharType="begin"/>
      </w:r>
      <w:r w:rsidR="005548B3">
        <w:rPr>
          <w:rFonts w:ascii="Garamond" w:hAnsi="Garamond"/>
          <w:lang w:eastAsia="ko-KR"/>
        </w:rPr>
        <w:instrText xml:space="preserve"> ADDIN ZOTERO_ITEM CSL_CITATION {"citationID":"OL49i7kn","properties":{"unsorted":false,"formattedCitation":"[14\\uc0\\u8211{}18]","plainCitation":"[14–18]","noteIndex":0},"citationItems":[{"id":27497,"uris":["http://zotero.org/users/7595310/items/N9NVGJPI"],"itemData":{"id":27497,"type":"book","citation-key":"quetelet_1831_","language":"fr","note":"Google-Books-ID: CchonUuxw0UC","number-of-pages":"98","publisher":"Hayez","source":"Google Books","title":"Recherches sur le penchant au crime aux différens âges","author":[{"family":"Quetelet","given":"Adolphe"}],"issued":{"date-parts":[["1831"]]}}},{"id":27499,"uris":["http://zotero.org/users/7595310/items/L3B69VTD"],"itemData":{"id":27499,"type":"book","citation-key":"__hm","publisher":"Crochard, Paris","title":"Essai sur la statistique morale de la france","author":[{"family":"Guerry","given":"André-Michel"}],"issued":{"date-parts":[["1833"]]}}},{"id":27473,"uris":["http://zotero.org/users/7595310/items/EHR7N2IQ"],"itemData":{"id":27473,"type":"book","citation-key":"shaw_1942_a","language":"en","note":"Google-Books-ID: GKRkMQEACAAJ","number-of-pages":"451","publisher":"University of Chicago Press","source":"Google Books","title":"Juvenile delinquency and urban areas: a study of rates of delinquents in relation to differential characteristics of local communities in american cities","title-short":"Juvenile delinquency and urban areas","author":[{"family":"Shaw","given":"Clifford Robe"},{"family":"McKay","given":"Henry Donald"}],"issued":{"date-parts":[["1942"]]}}},{"id":27407,"uris":["http://zotero.org/users/7595310/items/CE6Z5ZY9"],"itemData":{"id":27407,"type":"book","call-number":"364.43","citation-key":"bursik_1993_","ISBN":"978-0-669-24632-2","language":"eng","publisher":"Lexington books","publisher-place":"New York","source":"BnF ISBN","title":"Neighborhoods and crime: the dimensions of effective community control","title-short":"Neighborhoods and crime","author":[{"family":"Bursik","given":"Robert J."},{"family":"Grasmick","given":"Harold G."}],"issued":{"date-parts":[["1993"]]}}},{"id":27463,"uris":["http://zotero.org/users/7595310/items/KGPFUK5F"],"itemData":{"id":27463,"type":"book","abstract":"For over fifty years numerous public intellectuals and social theorists have insisted that community is dead. Some would have us believe that we act solely as individuals choosing our own fates regardless of our surroundings, while other theories place us at the mercy of global forces beyond our control. These two perspectives dominate contemporary views of society, but by rejecting the importance of place they are both deeply flawed. Based on one of the most ambitious studies in the history of social science, Great American City argues that communities still matter because life is decisively shaped by where you live. To demonstrate the powerfully enduring impact of place, Robert J. Sampson presents here the fruits of over a decade’s research in Chicago combined with his own unique personal observations about life in the city, from Cabrini Green to Trump Tower and Millennium Park to the Robert Taylor Homes. He discovers that neighborhoods influence a remarkably wide variety of social phenomena, including crime, health, civic engagement, home foreclosures, teen births, altruism, leadership networks, and immigration. Even national crises cannot halt the impact of place, Sampson finds, as he analyzes the consequences of the Great Recession and its aftermath, bringing his magisterial study up to the fall of 2010. Following in the influential tradition of the Chicago School of urban studies but updated for the twenty-first century, Great American City is at once a landmark research project, a commanding argument for a new theory of social life, and the story of an iconic city.","citation-key":"sampson_2013_","ISBN":"978-0-226-05568-8","language":"en","number-of-pages":"552","publisher":"University of Chicago Press","publisher-place":"Chicago, IL","source":"University of Chicago Press","title":"Great american city: Chicago and the enduring neighborhood effect","title-short":"Great american city","URL":"https://press.uchicago.edu/ucp/books/book/chicago/G/bo5514383.html","author":[{"family":"Sampson","given":"Robert J."}],"editor":[{"family":"Wilson","given":"William Julius"}],"accessed":{"date-parts":[["2026",6,2]]},"issued":{"date-parts":[["2013",6]]}}}],"schema":"https://github.com/citation-style-language/schema/raw/master/csl-citation.json"} </w:instrText>
      </w:r>
      <w:r w:rsidR="00BB6919">
        <w:rPr>
          <w:rFonts w:ascii="Garamond" w:hAnsi="Garamond"/>
          <w:lang w:eastAsia="ko-KR"/>
        </w:rPr>
        <w:fldChar w:fldCharType="separate"/>
      </w:r>
      <w:r w:rsidR="005548B3" w:rsidRPr="005548B3">
        <w:rPr>
          <w:rFonts w:ascii="Garamond" w:hAnsi="Garamond" w:cs="Times New Roman"/>
          <w:kern w:val="0"/>
        </w:rPr>
        <w:t>[14–18]</w:t>
      </w:r>
      <w:r w:rsidR="00BB6919">
        <w:rPr>
          <w:rFonts w:ascii="Garamond" w:hAnsi="Garamond"/>
          <w:lang w:eastAsia="ko-KR"/>
        </w:rPr>
        <w:fldChar w:fldCharType="end"/>
      </w:r>
      <w:r w:rsidRPr="00C9433E">
        <w:rPr>
          <w:rFonts w:ascii="Garamond" w:hAnsi="Garamond"/>
        </w:rPr>
        <w:t xml:space="preserve">. </w:t>
      </w:r>
      <w:r w:rsidR="0077599A">
        <w:rPr>
          <w:rFonts w:ascii="Garamond" w:hAnsi="Garamond"/>
        </w:rPr>
        <w:t>However, we argue that the</w:t>
      </w:r>
      <w:r w:rsidRPr="00C9433E">
        <w:rPr>
          <w:rFonts w:ascii="Garamond" w:hAnsi="Garamond"/>
        </w:rPr>
        <w:t xml:space="preserve"> SVI is a poor proxy for concentrated disadvantage when compared </w:t>
      </w:r>
      <w:r w:rsidR="00047E9A">
        <w:rPr>
          <w:rFonts w:ascii="Garamond" w:hAnsi="Garamond"/>
        </w:rPr>
        <w:t>to</w:t>
      </w:r>
      <w:r w:rsidRPr="00C9433E">
        <w:rPr>
          <w:rFonts w:ascii="Garamond" w:hAnsi="Garamond"/>
        </w:rPr>
        <w:t xml:space="preserve"> established alternatives. Third, the index’s </w:t>
      </w:r>
      <w:r w:rsidR="00E56FCA">
        <w:rPr>
          <w:rFonts w:ascii="Garamond" w:hAnsi="Garamond"/>
        </w:rPr>
        <w:t>measurement properties are</w:t>
      </w:r>
      <w:r w:rsidRPr="00C9433E">
        <w:rPr>
          <w:rFonts w:ascii="Garamond" w:hAnsi="Garamond"/>
        </w:rPr>
        <w:t xml:space="preserve"> poorly understood and </w:t>
      </w:r>
      <w:r w:rsidR="00E56FCA">
        <w:rPr>
          <w:rFonts w:ascii="Garamond" w:hAnsi="Garamond"/>
        </w:rPr>
        <w:t>are</w:t>
      </w:r>
      <w:r w:rsidRPr="00C9433E">
        <w:rPr>
          <w:rFonts w:ascii="Garamond" w:hAnsi="Garamond"/>
        </w:rPr>
        <w:t xml:space="preserve"> rarely scrutinized in </w:t>
      </w:r>
      <w:r w:rsidR="00E56FCA">
        <w:rPr>
          <w:rFonts w:ascii="Garamond" w:hAnsi="Garamond"/>
        </w:rPr>
        <w:t>firearm</w:t>
      </w:r>
      <w:r w:rsidRPr="00C9433E">
        <w:rPr>
          <w:rFonts w:ascii="Garamond" w:hAnsi="Garamond"/>
        </w:rPr>
        <w:t xml:space="preserve"> research.</w:t>
      </w:r>
      <w:r w:rsidR="00BC2032">
        <w:rPr>
          <w:rFonts w:ascii="Garamond" w:hAnsi="Garamond"/>
        </w:rPr>
        <w:t xml:space="preserve"> </w:t>
      </w:r>
      <w:r w:rsidRPr="00C9433E">
        <w:rPr>
          <w:rFonts w:ascii="Garamond" w:hAnsi="Garamond"/>
        </w:rPr>
        <w:t xml:space="preserve">The widespread visibility and accessibility of the SVI have </w:t>
      </w:r>
      <w:r w:rsidR="00047E9A">
        <w:rPr>
          <w:rFonts w:ascii="Garamond" w:hAnsi="Garamond"/>
        </w:rPr>
        <w:t>led to</w:t>
      </w:r>
      <w:r w:rsidRPr="00C9433E">
        <w:rPr>
          <w:rFonts w:ascii="Garamond" w:hAnsi="Garamond"/>
        </w:rPr>
        <w:t xml:space="preserve"> its adoption as a convenient barometer of ecological firearm risk, often without critical examination. To address this gap, we re</w:t>
      </w:r>
      <w:r w:rsidR="009063FA">
        <w:rPr>
          <w:rFonts w:ascii="Garamond" w:hAnsi="Garamond"/>
        </w:rPr>
        <w:t>orient</w:t>
      </w:r>
      <w:r w:rsidRPr="00C9433E">
        <w:rPr>
          <w:rFonts w:ascii="Garamond" w:hAnsi="Garamond"/>
        </w:rPr>
        <w:t xml:space="preserve"> readers to a standard and theoretically grounded index of socioeconomic disadvantage (</w:t>
      </w:r>
      <w:r w:rsidR="001527BC">
        <w:rPr>
          <w:rFonts w:ascii="Garamond" w:hAnsi="Garamond"/>
        </w:rPr>
        <w:t>CDI</w:t>
      </w:r>
      <w:r w:rsidRPr="00C9433E">
        <w:rPr>
          <w:rFonts w:ascii="Garamond" w:hAnsi="Garamond"/>
        </w:rPr>
        <w:t>) used for decades in the study of community violence</w:t>
      </w:r>
      <w:r w:rsidR="002D0D23">
        <w:rPr>
          <w:rFonts w:ascii="Garamond" w:hAnsi="Garamond"/>
        </w:rPr>
        <w:t xml:space="preserve">. </w:t>
      </w:r>
      <w:r w:rsidRPr="00C9433E">
        <w:rPr>
          <w:rFonts w:ascii="Garamond" w:hAnsi="Garamond"/>
        </w:rPr>
        <w:t xml:space="preserve">In the spirit </w:t>
      </w:r>
      <w:r w:rsidRPr="00C9433E">
        <w:rPr>
          <w:rFonts w:ascii="Garamond" w:hAnsi="Garamond"/>
        </w:rPr>
        <w:lastRenderedPageBreak/>
        <w:t xml:space="preserve">of open science, we </w:t>
      </w:r>
      <w:r w:rsidR="00047E9A">
        <w:rPr>
          <w:rFonts w:ascii="Garamond" w:hAnsi="Garamond"/>
        </w:rPr>
        <w:t>make available</w:t>
      </w:r>
      <w:r w:rsidRPr="00C9433E">
        <w:rPr>
          <w:rFonts w:ascii="Garamond" w:hAnsi="Garamond"/>
        </w:rPr>
        <w:t xml:space="preserve"> a</w:t>
      </w:r>
      <w:r w:rsidR="00954949">
        <w:rPr>
          <w:rFonts w:ascii="Garamond" w:hAnsi="Garamond"/>
        </w:rPr>
        <w:t>n open-access</w:t>
      </w:r>
      <w:r w:rsidRPr="00C9433E">
        <w:rPr>
          <w:rFonts w:ascii="Garamond" w:hAnsi="Garamond"/>
        </w:rPr>
        <w:t xml:space="preserve"> repository containing tract-level measures of </w:t>
      </w:r>
      <w:r w:rsidR="001527BC">
        <w:rPr>
          <w:rFonts w:ascii="Garamond" w:hAnsi="Garamond"/>
        </w:rPr>
        <w:t>CDI</w:t>
      </w:r>
      <w:r w:rsidR="005B7AA8">
        <w:rPr>
          <w:rFonts w:ascii="Garamond" w:hAnsi="Garamond"/>
        </w:rPr>
        <w:t xml:space="preserve"> </w:t>
      </w:r>
      <w:r w:rsidRPr="00C9433E">
        <w:rPr>
          <w:rFonts w:ascii="Garamond" w:hAnsi="Garamond"/>
        </w:rPr>
        <w:t xml:space="preserve">for the entire United States, standardized both nationally and by state. </w:t>
      </w:r>
    </w:p>
    <w:p w14:paraId="0E16BBEB" w14:textId="163A292B" w:rsidR="004838B1" w:rsidRDefault="004838B1" w:rsidP="008918A0">
      <w:pPr>
        <w:spacing w:after="0" w:line="240" w:lineRule="auto"/>
        <w:jc w:val="both"/>
        <w:rPr>
          <w:rFonts w:ascii="Garamond" w:hAnsi="Garamond"/>
        </w:rPr>
      </w:pPr>
    </w:p>
    <w:p w14:paraId="459FD9AA" w14:textId="77777777" w:rsidR="00922E48" w:rsidRDefault="00922E48" w:rsidP="008918A0">
      <w:pPr>
        <w:spacing w:after="0" w:line="240" w:lineRule="auto"/>
        <w:jc w:val="both"/>
        <w:rPr>
          <w:rFonts w:ascii="Garamond" w:hAnsi="Garamond"/>
        </w:rPr>
      </w:pPr>
    </w:p>
    <w:p w14:paraId="75308BE4" w14:textId="206E2E4B" w:rsidR="004838B1" w:rsidRPr="002A62A5" w:rsidRDefault="004838B1" w:rsidP="00C028DE">
      <w:pPr>
        <w:spacing w:after="0" w:line="480" w:lineRule="auto"/>
        <w:jc w:val="both"/>
        <w:rPr>
          <w:rFonts w:ascii="Garamond" w:hAnsi="Garamond"/>
          <w:b/>
          <w:bCs/>
        </w:rPr>
      </w:pPr>
      <w:r w:rsidRPr="002A62A5">
        <w:rPr>
          <w:rFonts w:ascii="Garamond" w:hAnsi="Garamond"/>
          <w:b/>
          <w:bCs/>
        </w:rPr>
        <w:t>BACKGROUND</w:t>
      </w:r>
    </w:p>
    <w:p w14:paraId="6056F459" w14:textId="6F2EEDF2" w:rsidR="00511037" w:rsidRDefault="004838B1" w:rsidP="00C028DE">
      <w:pPr>
        <w:spacing w:after="0" w:line="480" w:lineRule="auto"/>
        <w:ind w:firstLine="720"/>
        <w:jc w:val="both"/>
        <w:rPr>
          <w:rFonts w:ascii="Garamond" w:hAnsi="Garamond"/>
        </w:rPr>
      </w:pPr>
      <w:r w:rsidRPr="004838B1">
        <w:rPr>
          <w:rFonts w:ascii="Garamond" w:hAnsi="Garamond"/>
        </w:rPr>
        <w:t>Over the past</w:t>
      </w:r>
      <w:r w:rsidR="006A0C8E">
        <w:rPr>
          <w:rFonts w:ascii="Garamond" w:hAnsi="Garamond"/>
        </w:rPr>
        <w:t xml:space="preserve"> </w:t>
      </w:r>
      <w:r w:rsidRPr="004838B1">
        <w:rPr>
          <w:rFonts w:ascii="Garamond" w:hAnsi="Garamond"/>
        </w:rPr>
        <w:t xml:space="preserve">decade, </w:t>
      </w:r>
      <w:r w:rsidR="00AE3B7C">
        <w:rPr>
          <w:rFonts w:ascii="Garamond" w:hAnsi="Garamond"/>
        </w:rPr>
        <w:t>SVI</w:t>
      </w:r>
      <w:r w:rsidRPr="004838B1">
        <w:rPr>
          <w:rFonts w:ascii="Garamond" w:hAnsi="Garamond"/>
        </w:rPr>
        <w:t xml:space="preserve"> has become a popular tool in public health and social epidemiology.</w:t>
      </w:r>
      <w:r w:rsidR="00703950">
        <w:rPr>
          <w:rFonts w:ascii="Garamond" w:hAnsi="Garamond"/>
        </w:rPr>
        <w:t xml:space="preserve"> </w:t>
      </w:r>
      <w:r w:rsidRPr="004838B1">
        <w:rPr>
          <w:rFonts w:ascii="Garamond" w:hAnsi="Garamond"/>
        </w:rPr>
        <w:t xml:space="preserve">Originally developed by the Centers for Disease Control and Prevention (CDC) and the Agency for Toxic Substances and Disease Registry (ATSDR), the SVI was designed to identify communities most likely to experience harm from natural or human-made disasters. It aggregates </w:t>
      </w:r>
      <w:r w:rsidR="005A7633" w:rsidRPr="004838B1">
        <w:rPr>
          <w:rFonts w:ascii="Garamond" w:hAnsi="Garamond"/>
        </w:rPr>
        <w:t>sixteen</w:t>
      </w:r>
      <w:r w:rsidRPr="004838B1">
        <w:rPr>
          <w:rFonts w:ascii="Garamond" w:hAnsi="Garamond"/>
        </w:rPr>
        <w:t xml:space="preserve"> census-derived indicators</w:t>
      </w:r>
      <w:r w:rsidR="002B3D0F">
        <w:rPr>
          <w:rFonts w:ascii="Garamond" w:hAnsi="Garamond"/>
        </w:rPr>
        <w:t xml:space="preserve"> </w:t>
      </w:r>
      <w:r w:rsidRPr="004838B1">
        <w:rPr>
          <w:rFonts w:ascii="Garamond" w:hAnsi="Garamond"/>
        </w:rPr>
        <w:t xml:space="preserve">into four domains reflecting socioeconomic status, household composition/disability, minority </w:t>
      </w:r>
      <w:r w:rsidR="007D47D7">
        <w:rPr>
          <w:rFonts w:ascii="Garamond" w:hAnsi="Garamond"/>
        </w:rPr>
        <w:t>composition</w:t>
      </w:r>
      <w:r w:rsidRPr="004838B1">
        <w:rPr>
          <w:rFonts w:ascii="Garamond" w:hAnsi="Garamond"/>
        </w:rPr>
        <w:t xml:space="preserve">, and housing/transportation. The SVI’s appeal lies in its accessibility and </w:t>
      </w:r>
      <w:r w:rsidR="005A7633">
        <w:rPr>
          <w:rFonts w:ascii="Garamond" w:hAnsi="Garamond"/>
        </w:rPr>
        <w:t>intuitive</w:t>
      </w:r>
      <w:r w:rsidRPr="004838B1">
        <w:rPr>
          <w:rFonts w:ascii="Garamond" w:hAnsi="Garamond"/>
        </w:rPr>
        <w:t xml:space="preserve"> premise</w:t>
      </w:r>
      <w:r w:rsidR="00BE49B4">
        <w:rPr>
          <w:rFonts w:ascii="Garamond" w:hAnsi="Garamond"/>
        </w:rPr>
        <w:t>; namely, that</w:t>
      </w:r>
      <w:r w:rsidR="002D04DE">
        <w:rPr>
          <w:rFonts w:ascii="Garamond" w:hAnsi="Garamond"/>
        </w:rPr>
        <w:t xml:space="preserve"> </w:t>
      </w:r>
      <w:r w:rsidRPr="004838B1">
        <w:rPr>
          <w:rFonts w:ascii="Garamond" w:hAnsi="Garamond"/>
        </w:rPr>
        <w:t>communities with greater “vulnerability” are presumed to be less resilient when crises occur</w:t>
      </w:r>
      <w:r w:rsidR="00FC2625">
        <w:rPr>
          <w:rFonts w:ascii="Garamond" w:hAnsi="Garamond" w:hint="eastAsia"/>
          <w:lang w:eastAsia="ko-KR"/>
        </w:rPr>
        <w:t xml:space="preserve"> </w:t>
      </w:r>
      <w:r w:rsidR="00FC2625">
        <w:rPr>
          <w:rFonts w:ascii="Garamond" w:hAnsi="Garamond"/>
          <w:lang w:eastAsia="ko-KR"/>
        </w:rPr>
        <w:fldChar w:fldCharType="begin"/>
      </w:r>
      <w:r w:rsidR="005548B3">
        <w:rPr>
          <w:rFonts w:ascii="Garamond" w:hAnsi="Garamond"/>
          <w:lang w:eastAsia="ko-KR"/>
        </w:rPr>
        <w:instrText xml:space="preserve"> ADDIN ZOTERO_ITEM CSL_CITATION {"citationID":"q11aRvug","properties":{"unsorted":false,"formattedCitation":"[19]","plainCitation":"[19]","noteIndex":0},"citationItems":[{"id":27415,"uris":["http://zotero.org/users/7595310/items/2FV74ULR"],"itemData":{"id":27415,"type":"article-journal","abstract":"Social vulnerability refers to the socioeconomic and demographic factors that affect the resilience of communities. Studies have shown that in disaster events the socially vulnerable are more likely to be adversely affected, i.e. they are less likely to recover and more likely to die. Effectively addressing social vulnerability decreases both human suffering and the economic loss related to providing social services and public assistance after a disaster. This paper describes the development of a social vulnerability index (SVI), from 15 census variables at the census tract level, for use in emergency management. It also examines the potential value of the SVI by exploring the impact of Hurricane Katrina on local populations.","citation-key":"flanagan_2011_j.homel.secur.emerg.manag.","container-title":"Journal of Homeland Security and Emergency Management","DOI":"10.2202/1547-7355.1792","ISSN":"1547-7355, 2194-6361","issue":"1","language":"en","page":"0000102202154773551792","source":"DOI.org (Crossref)","title":"A social vulnerability index for disaster management","volume":"8","author":[{"family":"Flanagan","given":"Barry E."},{"family":"Gregory","given":"Edward W."},{"family":"Hallisey","given":"Elaine J"},{"family":"Heitgerd","given":"Janet L."},{"family":"Lewis","given":"Brian"}],"issued":{"date-parts":[["2011",1,5]]}}}],"schema":"https://github.com/citation-style-language/schema/raw/master/csl-citation.json"} </w:instrText>
      </w:r>
      <w:r w:rsidR="00FC2625">
        <w:rPr>
          <w:rFonts w:ascii="Garamond" w:hAnsi="Garamond"/>
          <w:lang w:eastAsia="ko-KR"/>
        </w:rPr>
        <w:fldChar w:fldCharType="separate"/>
      </w:r>
      <w:r w:rsidR="005548B3" w:rsidRPr="005548B3">
        <w:rPr>
          <w:rFonts w:ascii="Garamond" w:hAnsi="Garamond"/>
          <w:lang w:eastAsia="ko-KR"/>
        </w:rPr>
        <w:t>[19]</w:t>
      </w:r>
      <w:r w:rsidR="00FC2625">
        <w:rPr>
          <w:rFonts w:ascii="Garamond" w:hAnsi="Garamond"/>
          <w:lang w:eastAsia="ko-KR"/>
        </w:rPr>
        <w:fldChar w:fldCharType="end"/>
      </w:r>
      <w:r w:rsidRPr="004838B1">
        <w:rPr>
          <w:rFonts w:ascii="Garamond" w:hAnsi="Garamond"/>
        </w:rPr>
        <w:t>.</w:t>
      </w:r>
    </w:p>
    <w:p w14:paraId="7E0441F6" w14:textId="384A4FCF" w:rsidR="003842D4" w:rsidRDefault="00D34515" w:rsidP="00C028DE">
      <w:pPr>
        <w:spacing w:after="0" w:line="480" w:lineRule="auto"/>
        <w:ind w:firstLine="720"/>
        <w:jc w:val="both"/>
        <w:rPr>
          <w:rFonts w:ascii="Garamond" w:hAnsi="Garamond"/>
        </w:rPr>
      </w:pPr>
      <w:r>
        <w:rPr>
          <w:rFonts w:ascii="Garamond" w:hAnsi="Garamond"/>
        </w:rPr>
        <w:t xml:space="preserve">The </w:t>
      </w:r>
      <w:r w:rsidR="00704719">
        <w:rPr>
          <w:rFonts w:ascii="Garamond" w:hAnsi="Garamond"/>
        </w:rPr>
        <w:t>SVI</w:t>
      </w:r>
      <w:r w:rsidR="00511037" w:rsidRPr="00677551">
        <w:rPr>
          <w:rFonts w:ascii="Garamond" w:hAnsi="Garamond"/>
        </w:rPr>
        <w:t xml:space="preserve"> has come to serve as a flexible</w:t>
      </w:r>
      <w:r w:rsidR="009260CA">
        <w:rPr>
          <w:rFonts w:ascii="Garamond" w:hAnsi="Garamond"/>
        </w:rPr>
        <w:t xml:space="preserve"> </w:t>
      </w:r>
      <w:r w:rsidR="00511037" w:rsidRPr="00677551">
        <w:rPr>
          <w:rFonts w:ascii="Garamond" w:hAnsi="Garamond"/>
        </w:rPr>
        <w:t>indicator of contextual risk</w:t>
      </w:r>
      <w:r w:rsidR="00BE49B4">
        <w:rPr>
          <w:rFonts w:ascii="Garamond" w:hAnsi="Garamond"/>
        </w:rPr>
        <w:t xml:space="preserve"> </w:t>
      </w:r>
      <w:r w:rsidR="00814CDD">
        <w:rPr>
          <w:rFonts w:ascii="Garamond" w:hAnsi="Garamond"/>
        </w:rPr>
        <w:t>across a variety of social and health sciences</w:t>
      </w:r>
      <w:r w:rsidR="00B51770">
        <w:rPr>
          <w:rFonts w:ascii="Garamond" w:hAnsi="Garamond" w:hint="eastAsia"/>
          <w:lang w:eastAsia="ko-KR"/>
        </w:rPr>
        <w:t xml:space="preserve"> </w:t>
      </w:r>
      <w:r w:rsidR="00B51770">
        <w:rPr>
          <w:rFonts w:ascii="Garamond" w:hAnsi="Garamond"/>
        </w:rPr>
        <w:fldChar w:fldCharType="begin"/>
      </w:r>
      <w:r w:rsidR="005548B3">
        <w:rPr>
          <w:rFonts w:ascii="Garamond" w:hAnsi="Garamond"/>
        </w:rPr>
        <w:instrText xml:space="preserve"> ADDIN ZOTERO_ITEM CSL_CITATION {"citationID":"q2zrLHEK","properties":{"unsorted":false,"formattedCitation":"[20]","plainCitation":"[20]","noteIndex":0},"citationItems":[{"id":27420,"uris":["http://zotero.org/users/7595310/items/TC9S6DI4"],"itemData":{"id":27420,"type":"article-journal","abstract":"The Centers for Disease Control and Prevention created the Social Vulnerability Index (SVI) for the purpose of allocating resources in times of emergency based on social determinants of health (SDOH). The purpose of this systematic review was to evaluate how the SVI tool has been applied in health care literature focused on health in the United States (US). A systematic literature review was conducted in 7 research databases with an 11-year time frame reflecting the launch of SVI, with the last search completed on September 29, 2022. Studies were included that involved humans, health, SVI, and conducted in the US. Articles were excluded if the SVI was used in COVID-19, disaster, pandemic, environment, or hazards. A total of 47 articles were included in the systematic review. The majority of studies analyzed individual/population health outcomes in clinical, surgical, mortality, or health promotion areas. The majority of studies showed a relationship between neighborhood-level SDOH and health outcomes. Study authors reported strengths, limitations, and recommendations of the SVI tool. A potential limitation of the study was the exclusion of studies that used the SVI related to disaster. The SVI represents a powerful tool to assess neighborhood-level SDOH and examine upstream drivers health outcomes with direct implications for research, policy, and practice.","citation-key":"higginbotham_2025_famcommunityhealth","container-title":"Family &amp; Community Health","DOI":"10.1097/FCH.0000000000000421","ISSN":"1550-5057","issue":"2","journalAbbreviation":"Fam Community Health","language":"eng","page":"81-96","PMID":"39807786","PMCID":"PMC11832337","source":"PubMed","title":"Social vulnerability index and health outcomes in the united states: a systematic review","title-short":"Social vulnerability index and health outcomes in the united states","volume":"48","author":[{"family":"Higginbotham","given":"J. Kimberly"},{"family":"Segovia","given":"Laura M."},{"family":"Rohm","given":"Kristi L."},{"family":"Anderson","given":"Cindy M."},{"family":"Breitenstein","given":"Susan M."}],"issued":{"date-parts":[["2025",6,1]]}}}],"schema":"https://github.com/citation-style-language/schema/raw/master/csl-citation.json"} </w:instrText>
      </w:r>
      <w:r w:rsidR="00B51770">
        <w:rPr>
          <w:rFonts w:ascii="Garamond" w:hAnsi="Garamond"/>
        </w:rPr>
        <w:fldChar w:fldCharType="separate"/>
      </w:r>
      <w:r w:rsidR="005548B3" w:rsidRPr="005548B3">
        <w:rPr>
          <w:rFonts w:ascii="Garamond" w:hAnsi="Garamond"/>
        </w:rPr>
        <w:t>[20]</w:t>
      </w:r>
      <w:r w:rsidR="00B51770">
        <w:rPr>
          <w:rFonts w:ascii="Garamond" w:hAnsi="Garamond"/>
        </w:rPr>
        <w:fldChar w:fldCharType="end"/>
      </w:r>
      <w:r w:rsidR="00511037" w:rsidRPr="00677551">
        <w:rPr>
          <w:rFonts w:ascii="Garamond" w:hAnsi="Garamond"/>
        </w:rPr>
        <w:t xml:space="preserve">. </w:t>
      </w:r>
      <w:r w:rsidR="00C8127A">
        <w:rPr>
          <w:rFonts w:ascii="Garamond" w:hAnsi="Garamond"/>
        </w:rPr>
        <w:t>That said, the</w:t>
      </w:r>
      <w:r w:rsidR="00BE49B4">
        <w:rPr>
          <w:rFonts w:ascii="Garamond" w:hAnsi="Garamond"/>
        </w:rPr>
        <w:t xml:space="preserve"> empirical </w:t>
      </w:r>
      <w:r w:rsidR="003842D4">
        <w:rPr>
          <w:rFonts w:ascii="Garamond" w:hAnsi="Garamond"/>
        </w:rPr>
        <w:t xml:space="preserve">linkages between the SVI and community violence </w:t>
      </w:r>
      <w:r w:rsidR="00BE49B4">
        <w:rPr>
          <w:rFonts w:ascii="Garamond" w:hAnsi="Garamond"/>
        </w:rPr>
        <w:t xml:space="preserve">remain </w:t>
      </w:r>
      <w:r w:rsidR="006402AB">
        <w:rPr>
          <w:rFonts w:ascii="Garamond" w:hAnsi="Garamond"/>
        </w:rPr>
        <w:t>underdeveloped and poorly understood</w:t>
      </w:r>
      <w:r w:rsidR="00BE49B4">
        <w:rPr>
          <w:rFonts w:ascii="Garamond" w:hAnsi="Garamond"/>
        </w:rPr>
        <w:t xml:space="preserve">. </w:t>
      </w:r>
      <w:r w:rsidR="00511037" w:rsidRPr="00677551">
        <w:rPr>
          <w:rFonts w:ascii="Garamond" w:hAnsi="Garamond"/>
        </w:rPr>
        <w:t xml:space="preserve"> </w:t>
      </w:r>
      <w:r w:rsidR="00F001C9">
        <w:rPr>
          <w:rFonts w:ascii="Garamond" w:hAnsi="Garamond"/>
        </w:rPr>
        <w:t xml:space="preserve">For instance, </w:t>
      </w:r>
      <w:r w:rsidR="005D674F" w:rsidRPr="005D674F">
        <w:rPr>
          <w:rFonts w:ascii="Garamond" w:hAnsi="Garamond"/>
        </w:rPr>
        <w:t>Gill et al. (2024) show that socially vulnerable communities</w:t>
      </w:r>
      <w:r w:rsidR="003842D4">
        <w:rPr>
          <w:rFonts w:ascii="Garamond" w:hAnsi="Garamond"/>
        </w:rPr>
        <w:t xml:space="preserve"> in Kansas City, MO</w:t>
      </w:r>
      <w:r w:rsidR="005D674F" w:rsidRPr="005D674F">
        <w:rPr>
          <w:rFonts w:ascii="Garamond" w:hAnsi="Garamond"/>
        </w:rPr>
        <w:t xml:space="preserve"> experience disproportionate firearm violence and that these effects extend beyond individual tracts, reflecting spatial interdependence and broader structural disadvantage</w:t>
      </w:r>
      <w:r w:rsidR="00D80539">
        <w:rPr>
          <w:rFonts w:ascii="Garamond" w:hAnsi="Garamond"/>
        </w:rPr>
        <w:t>s</w:t>
      </w:r>
      <w:r w:rsidR="002C202D">
        <w:rPr>
          <w:rFonts w:ascii="Garamond" w:hAnsi="Garamond" w:hint="eastAsia"/>
          <w:lang w:eastAsia="ko-KR"/>
        </w:rPr>
        <w:t xml:space="preserve"> </w:t>
      </w:r>
      <w:r w:rsidR="002C202D">
        <w:rPr>
          <w:rFonts w:ascii="Garamond" w:hAnsi="Garamond"/>
          <w:lang w:eastAsia="ko-KR"/>
        </w:rPr>
        <w:fldChar w:fldCharType="begin"/>
      </w:r>
      <w:r w:rsidR="005548B3">
        <w:rPr>
          <w:rFonts w:ascii="Garamond" w:hAnsi="Garamond"/>
          <w:lang w:eastAsia="ko-KR"/>
        </w:rPr>
        <w:instrText xml:space="preserve"> ADDIN ZOTERO_ITEM CSL_CITATION {"citationID":"ewn4F7n0","properties":{"unsorted":false,"formattedCitation":"[21]","plainCitation":"[21]","noteIndex":0},"citationItems":[{"id":27416,"uris":["http://zotero.org/users/7595310/items/WTSVRGS5"],"itemData":{"id":27416,"type":"article-journal","abstract":"The current study uses the CDC’s social vulnerability index (SVI), an underutilized measure in criminology, to examine patterns of fatal and nonfatal firearm violence. The SVI is an index that captures the level of social vulnerability within communities that can reflect a community’s ability to withstand many stressors, including firearm violence. Results indicate that vulnerable communities, as measured by the SVI, experience disproportionate firearm violence. Results also show that neighborhood firearm violence is influenced by nearby neighborhoods’ levels of social vulnerability. That is, neighborhoods that are surrounded by other neighborhoods with high levels of social vulnerability experience more firearm violence. These results are important for policymakers who seek to address the root causes of vulnerabilities that impact firearm violence indirectly, and the results provide a foundation for future application of the SVI within criminology.","citation-key":"gill_2024_homicidestudies","container-title":"Homicide Studies","DOI":"10.1177/10887679241252438","ISSN":"1088-7679, 1552-6720","journalAbbreviation":"Homicide Studies","language":"en","page":"10887679241252438","source":"DOI.org (Crossref)","title":"Social vulnerability and firearm violence: An examination of the correlates of fatal and nonfatal shootings","title-short":"Social vulnerability and firearm violence","author":[{"family":"Gill","given":"Lexi"},{"family":"Novak","given":"Kenneth J."},{"family":"Patterson","given":"Silas"}],"issued":{"date-parts":[["2024",5,13]]}}}],"schema":"https://github.com/citation-style-language/schema/raw/master/csl-citation.json"} </w:instrText>
      </w:r>
      <w:r w:rsidR="002C202D">
        <w:rPr>
          <w:rFonts w:ascii="Garamond" w:hAnsi="Garamond"/>
          <w:lang w:eastAsia="ko-KR"/>
        </w:rPr>
        <w:fldChar w:fldCharType="separate"/>
      </w:r>
      <w:r w:rsidR="005548B3" w:rsidRPr="005548B3">
        <w:rPr>
          <w:rFonts w:ascii="Garamond" w:hAnsi="Garamond"/>
          <w:lang w:eastAsia="ko-KR"/>
        </w:rPr>
        <w:t>[21]</w:t>
      </w:r>
      <w:r w:rsidR="002C202D">
        <w:rPr>
          <w:rFonts w:ascii="Garamond" w:hAnsi="Garamond"/>
          <w:lang w:eastAsia="ko-KR"/>
        </w:rPr>
        <w:fldChar w:fldCharType="end"/>
      </w:r>
      <w:r w:rsidR="005D674F" w:rsidRPr="005D674F">
        <w:rPr>
          <w:rFonts w:ascii="Garamond" w:hAnsi="Garamond"/>
        </w:rPr>
        <w:t xml:space="preserve">. Dirago et al. (2023) </w:t>
      </w:r>
      <w:r w:rsidR="005D674F">
        <w:rPr>
          <w:rFonts w:ascii="Garamond" w:hAnsi="Garamond"/>
        </w:rPr>
        <w:t>report</w:t>
      </w:r>
      <w:r w:rsidR="005D674F" w:rsidRPr="005D674F">
        <w:rPr>
          <w:rFonts w:ascii="Garamond" w:hAnsi="Garamond"/>
        </w:rPr>
        <w:t xml:space="preserve"> </w:t>
      </w:r>
      <w:r w:rsidR="009260CA">
        <w:rPr>
          <w:rFonts w:ascii="Garamond" w:hAnsi="Garamond"/>
        </w:rPr>
        <w:t>that shootings are seven times more frequent</w:t>
      </w:r>
      <w:r w:rsidR="005D674F" w:rsidRPr="005D674F">
        <w:rPr>
          <w:rFonts w:ascii="Garamond" w:hAnsi="Garamond"/>
        </w:rPr>
        <w:t xml:space="preserve"> in Chicago’s most </w:t>
      </w:r>
      <w:r w:rsidR="003A7C5D">
        <w:rPr>
          <w:rFonts w:ascii="Garamond" w:hAnsi="Garamond"/>
        </w:rPr>
        <w:t xml:space="preserve">socially </w:t>
      </w:r>
      <w:r w:rsidR="005D674F" w:rsidRPr="005D674F">
        <w:rPr>
          <w:rFonts w:ascii="Garamond" w:hAnsi="Garamond"/>
        </w:rPr>
        <w:t>vulnerable tracts</w:t>
      </w:r>
      <w:r w:rsidR="009260CA">
        <w:rPr>
          <w:rFonts w:ascii="Garamond" w:hAnsi="Garamond"/>
        </w:rPr>
        <w:t xml:space="preserve"> relative to its least</w:t>
      </w:r>
      <w:r w:rsidR="00780B18">
        <w:rPr>
          <w:rFonts w:ascii="Garamond" w:hAnsi="Garamond"/>
        </w:rPr>
        <w:t xml:space="preserve"> and that t</w:t>
      </w:r>
      <w:r w:rsidR="003842D4">
        <w:rPr>
          <w:rFonts w:ascii="Garamond" w:hAnsi="Garamond"/>
        </w:rPr>
        <w:t>his effect was</w:t>
      </w:r>
      <w:r w:rsidR="003842D4" w:rsidRPr="00D80539">
        <w:rPr>
          <w:rFonts w:ascii="Garamond" w:hAnsi="Garamond"/>
        </w:rPr>
        <w:t xml:space="preserve"> strong</w:t>
      </w:r>
      <w:r w:rsidR="003842D4">
        <w:rPr>
          <w:rFonts w:ascii="Garamond" w:hAnsi="Garamond"/>
        </w:rPr>
        <w:t>est</w:t>
      </w:r>
      <w:r w:rsidR="003842D4" w:rsidRPr="00D80539">
        <w:rPr>
          <w:rFonts w:ascii="Garamond" w:hAnsi="Garamond"/>
        </w:rPr>
        <w:t xml:space="preserve"> in Black and Hispanic communities</w:t>
      </w:r>
      <w:r w:rsidR="002C202D">
        <w:rPr>
          <w:rFonts w:ascii="Garamond" w:hAnsi="Garamond" w:hint="eastAsia"/>
          <w:lang w:eastAsia="ko-KR"/>
        </w:rPr>
        <w:t xml:space="preserve"> </w:t>
      </w:r>
      <w:r w:rsidR="002C202D">
        <w:rPr>
          <w:rFonts w:ascii="Garamond" w:hAnsi="Garamond"/>
          <w:lang w:eastAsia="ko-KR"/>
        </w:rPr>
        <w:fldChar w:fldCharType="begin"/>
      </w:r>
      <w:r w:rsidR="005548B3">
        <w:rPr>
          <w:rFonts w:ascii="Garamond" w:hAnsi="Garamond"/>
          <w:lang w:eastAsia="ko-KR"/>
        </w:rPr>
        <w:instrText xml:space="preserve"> ADDIN ZOTERO_ITEM CSL_CITATION {"citationID":"mLpbeKtY","properties":{"unsorted":false,"formattedCitation":"[22]","plainCitation":"[22]","noteIndex":0},"citationItems":[{"id":27410,"uris":["http://zotero.org/users/7595310/items/JF6TZCD8"],"itemData":{"id":27410,"type":"article-journal","abstract":"INTRODUCTION: Urban firearm violence (UFV) is associated with inequities rooted in structural racism and socioeconomic disparities. Social vulnerability index (SVI) is a composite measure that encompasses both. We sought to understand the relationship between SVI and the incidence of UFV in Chicago using geospatial analysis for the first time.\nMATERIALS AND METHODS: Firearm assaults in Chicago 2001-2019 were obtained from the Trace. Locations of incidents were geocoded using ArcGIS and overlaid with census tract vector files. These data were linked to 2018 SVI measures obtained from the Center for Disease Control and Prevention. Shooting rates were calculated by tabulating the total number of shootings per capita in each census tract. We used Poisson regression with robust error variance to estimate the incident rate of UFV in different levels of social vulnerability and Local Moran's I to evaluate spatial autocorrelation.\nRESULTS: In total, 642 census tracts were analyzed. The median shooting rate was 2.6 per 1000 people (interquartile 0.77, 7.0). When compared to those census tracts with very low SVI, census tracts with low SVI had a 1.7-time increased incident rate of shootings (incidence rate ratio [IRR] 1.74, 95% CI 1.08, 2.81), tracts with moderate SVI had a 3.1-time increased incident rate (IRR 3.07, 95% CI 2.31, 4.10), and tracts with high SVI had a 7-time increased incident rate (IRR 7.03, 95% CI 5.45, 9.07).\nCONCLUSIONS: In Chicago, social vulnerability has a significant association with rates of firearm violence, providing a focus point for policy intervention to address high rates of interpersonal violence in similar cities.","citation-key":"dirago_2024_jsurgres","container-title":"The Journal of Surgical Research","DOI":"10.1016/j.jss.2023.08.058","ISSN":"1095-8673","journalAbbreviation":"J Surg Res","language":"eng","page":"66-72","PMID":"37866068","source":"PubMed","title":"Geospatial analysis of social vulnerability, race, and firearm violence in chicago","volume":"294","author":[{"family":"Dirago","given":"Camille"},{"family":"Poulson","given":"Michael"},{"family":"Hatchimonji","given":"Justin"},{"family":"Byrne","given":"James"},{"family":"Scantling","given":"Dane"}],"issued":{"date-parts":[["2024",2]]}}}],"schema":"https://github.com/citation-style-language/schema/raw/master/csl-citation.json"} </w:instrText>
      </w:r>
      <w:r w:rsidR="002C202D">
        <w:rPr>
          <w:rFonts w:ascii="Garamond" w:hAnsi="Garamond"/>
          <w:lang w:eastAsia="ko-KR"/>
        </w:rPr>
        <w:fldChar w:fldCharType="separate"/>
      </w:r>
      <w:r w:rsidR="005548B3" w:rsidRPr="005548B3">
        <w:rPr>
          <w:rFonts w:ascii="Garamond" w:hAnsi="Garamond"/>
          <w:lang w:eastAsia="ko-KR"/>
        </w:rPr>
        <w:t>[22]</w:t>
      </w:r>
      <w:r w:rsidR="002C202D">
        <w:rPr>
          <w:rFonts w:ascii="Garamond" w:hAnsi="Garamond"/>
          <w:lang w:eastAsia="ko-KR"/>
        </w:rPr>
        <w:fldChar w:fldCharType="end"/>
      </w:r>
      <w:r w:rsidR="003842D4">
        <w:rPr>
          <w:rFonts w:ascii="Garamond" w:hAnsi="Garamond"/>
        </w:rPr>
        <w:t xml:space="preserve">. However, they also note that </w:t>
      </w:r>
      <w:r w:rsidR="003842D4" w:rsidRPr="00D80539">
        <w:rPr>
          <w:rFonts w:ascii="Garamond" w:hAnsi="Garamond"/>
        </w:rPr>
        <w:t>some areas with high SVI exhibit</w:t>
      </w:r>
      <w:r w:rsidR="003842D4">
        <w:rPr>
          <w:rFonts w:ascii="Garamond" w:hAnsi="Garamond"/>
        </w:rPr>
        <w:t>ed unusually</w:t>
      </w:r>
      <w:r w:rsidR="003842D4" w:rsidRPr="00D80539">
        <w:rPr>
          <w:rFonts w:ascii="Garamond" w:hAnsi="Garamond"/>
        </w:rPr>
        <w:t xml:space="preserve"> </w:t>
      </w:r>
      <w:r w:rsidR="003842D4">
        <w:rPr>
          <w:rFonts w:ascii="Garamond" w:hAnsi="Garamond"/>
        </w:rPr>
        <w:t>low rates of firearm violence</w:t>
      </w:r>
      <w:r w:rsidR="003842D4" w:rsidRPr="00D80539">
        <w:rPr>
          <w:rFonts w:ascii="Garamond" w:hAnsi="Garamond"/>
        </w:rPr>
        <w:t xml:space="preserve">. These patterns </w:t>
      </w:r>
      <w:r w:rsidR="003842D4">
        <w:rPr>
          <w:rFonts w:ascii="Garamond" w:hAnsi="Garamond"/>
        </w:rPr>
        <w:t>suggest</w:t>
      </w:r>
      <w:r w:rsidR="003842D4" w:rsidRPr="00D80539">
        <w:rPr>
          <w:rFonts w:ascii="Garamond" w:hAnsi="Garamond"/>
        </w:rPr>
        <w:t xml:space="preserve"> that</w:t>
      </w:r>
      <w:r w:rsidR="003842D4">
        <w:rPr>
          <w:rFonts w:ascii="Garamond" w:hAnsi="Garamond"/>
        </w:rPr>
        <w:t xml:space="preserve"> the</w:t>
      </w:r>
      <w:r w:rsidR="003842D4" w:rsidRPr="00D80539">
        <w:rPr>
          <w:rFonts w:ascii="Garamond" w:hAnsi="Garamond"/>
        </w:rPr>
        <w:t xml:space="preserve"> SVI </w:t>
      </w:r>
      <w:r w:rsidR="003842D4">
        <w:rPr>
          <w:rFonts w:ascii="Garamond" w:hAnsi="Garamond"/>
        </w:rPr>
        <w:t>captures</w:t>
      </w:r>
      <w:r w:rsidR="003842D4" w:rsidRPr="00D80539">
        <w:rPr>
          <w:rFonts w:ascii="Garamond" w:hAnsi="Garamond"/>
        </w:rPr>
        <w:t xml:space="preserve"> broad structural conditions but does not fully capture localized dynamics of violence.</w:t>
      </w:r>
      <w:r w:rsidR="003842D4" w:rsidRPr="003842D4">
        <w:rPr>
          <w:rFonts w:ascii="Garamond" w:hAnsi="Garamond"/>
        </w:rPr>
        <w:t xml:space="preserve"> </w:t>
      </w:r>
      <w:r w:rsidR="003842D4" w:rsidRPr="005D674F">
        <w:rPr>
          <w:rFonts w:ascii="Garamond" w:hAnsi="Garamond"/>
        </w:rPr>
        <w:t>County-level analyses</w:t>
      </w:r>
      <w:r w:rsidR="00B76B99">
        <w:rPr>
          <w:rFonts w:ascii="Garamond" w:hAnsi="Garamond" w:hint="eastAsia"/>
          <w:lang w:eastAsia="ko-KR"/>
        </w:rPr>
        <w:t xml:space="preserve"> </w:t>
      </w:r>
      <w:r w:rsidR="003842D4" w:rsidRPr="005D674F">
        <w:rPr>
          <w:rFonts w:ascii="Garamond" w:hAnsi="Garamond"/>
        </w:rPr>
        <w:t xml:space="preserve">find that </w:t>
      </w:r>
      <w:r w:rsidR="003842D4">
        <w:rPr>
          <w:rFonts w:ascii="Garamond" w:hAnsi="Garamond"/>
        </w:rPr>
        <w:t xml:space="preserve">the </w:t>
      </w:r>
      <w:r w:rsidR="003842D4" w:rsidRPr="005D674F">
        <w:rPr>
          <w:rFonts w:ascii="Garamond" w:hAnsi="Garamond"/>
        </w:rPr>
        <w:t xml:space="preserve">SVI correlates with homicide and trauma fatality rates but </w:t>
      </w:r>
      <w:r w:rsidR="003842D4">
        <w:rPr>
          <w:rFonts w:ascii="Garamond" w:hAnsi="Garamond"/>
        </w:rPr>
        <w:t>does not consistently predict other forms of violence, such as suicide</w:t>
      </w:r>
      <w:r w:rsidR="00803D42">
        <w:rPr>
          <w:rFonts w:ascii="Garamond" w:hAnsi="Garamond" w:hint="eastAsia"/>
          <w:lang w:eastAsia="ko-KR"/>
        </w:rPr>
        <w:t xml:space="preserve"> </w:t>
      </w:r>
      <w:r w:rsidR="00803D42">
        <w:rPr>
          <w:rFonts w:ascii="Garamond" w:hAnsi="Garamond"/>
          <w:lang w:eastAsia="ko-KR"/>
        </w:rPr>
        <w:fldChar w:fldCharType="begin"/>
      </w:r>
      <w:r w:rsidR="005548B3">
        <w:rPr>
          <w:rFonts w:ascii="Garamond" w:hAnsi="Garamond"/>
          <w:lang w:eastAsia="ko-KR"/>
        </w:rPr>
        <w:instrText xml:space="preserve"> ADDIN ZOTERO_ITEM CSL_CITATION {"citationID":"Rw7znAjq","properties":{"unsorted":false,"formattedCitation":"[23\\uc0\\u8211{}25]","plainCitation":"[23–25]","noteIndex":0},"citationItems":[{"id":27426,"uris":["http://zotero.org/users/7595310/items/JKNG6H4G"],"itemData":{"id":27426,"type":"article-journal","abstract":"BACKGROUND: Despite broad recognition of the physical inactivity pandemic, little to no progress has been made in the past decade in mitigating the problem. The current analysis builds upon previous research into the drivers of physical inactivity to assess the potential interactions with firearm violence in the United States.\nMETHODS: We merged county-level data on firearm fatality rates, physical inactivity prevalence, the Social Vulnerabi</w:instrText>
      </w:r>
      <w:r w:rsidR="005548B3">
        <w:rPr>
          <w:rFonts w:ascii="Garamond" w:hAnsi="Garamond" w:hint="eastAsia"/>
          <w:lang w:eastAsia="ko-KR"/>
        </w:rPr>
        <w:instrText xml:space="preserve">lity Index, and the American nations regional cultures schematic.\nRESULTS: Counties with a physical inactivity prevalence currently above the federal government's 2030 goal (ie, </w:instrText>
      </w:r>
      <w:r w:rsidR="005548B3">
        <w:rPr>
          <w:rFonts w:ascii="Garamond" w:hAnsi="Garamond" w:hint="eastAsia"/>
          <w:lang w:eastAsia="ko-KR"/>
        </w:rPr>
        <w:instrText>≥</w:instrText>
      </w:r>
      <w:r w:rsidR="005548B3">
        <w:rPr>
          <w:rFonts w:ascii="Garamond" w:hAnsi="Garamond" w:hint="eastAsia"/>
          <w:lang w:eastAsia="ko-KR"/>
        </w:rPr>
        <w:instrText>21.8%) had a significantly higher firearm fatality rate per 100,000 populat</w:instrText>
      </w:r>
      <w:r w:rsidR="005548B3">
        <w:rPr>
          <w:rFonts w:ascii="Garamond" w:hAnsi="Garamond"/>
          <w:lang w:eastAsia="ko-KR"/>
        </w:rPr>
        <w:instrText xml:space="preserve">ion. This finding was consistent for both the overall rate and race-based subgroups. The overall White, Hispanic, and Black firearm fatality rates were also significantly higher in the American nations group comprising Greater Appalachia, Deep South, El Norte, New France, and First Nation. Stepwise linear regression analysis revealed that the Social Vulnerability Index, American nations dichotomous grouping, and firearm fatality rate were all retained (P &lt; .001) in predicting physical inactivity prevalence as a continuous variable.\nCONCLUSION: In conclusion, the United States faces myriad health and societal challenges. Unhealthy lifestyles and gun violence are two of the leaders. The current analysis in conjunction with previous findings demonstrates that solving these challenges by interacting, create complexity to finding solutions that has not been thoroughly considered.","citation-key":"kottke_2024_amjmed","container-title":"The American Journal of Medicine","DOI":"10.1016/j.amjmed.2024.01.030","ISSN":"1555-7162","issue":"5","journalAbbreviation":"Am J Med","language":"eng","page":"426-432","PMID":"38336085","source":"PubMed","title":"The potential influence of firearm violence on physical inactivity in the united states","volume":"137","author":[{"family":"Kottke","given":"Thomas E."},{"family":"Pronk","given":"Nicolaas P."},{"family":"Woodard","given":"Colin"},{"family":"Arena","given":"Ross"}],"issued":{"date-parts":[["2024",5]]}}},{"id":27447,"uris":["http://zotero.org/users/7595310/items/Q99HBMXZ"],"itemData":{"id":27447,"type":"article-journal","abstract":"BACKGROUND: Social vulnerability indices were created to measure resiliency to environmental disasters based on socioeconomic and population characteristics of discrete geographic regions. They are composed of multiple validated constructs that can also potentially identify geographically vulnerable populations after injury. Our objective was to determine if these indices correlate with injury fatality rates in the US.\nMETHODS: We evaluated three social vulnerability indices: The Hazards &amp; Vulnerability Research Institute's Social Vulnerability Index (SoVI), the Center for Disease Control's Social Vulnerability Index (SVI), and the Economic Innovation Group's Distressed Community Index (DCI). We analyzed SVI subindices and common individual census variables as indicators of socioeconomic status. Outcomes included age-adjusted county-level overall, firearm, and motor vehicle collision deaths per 100,000 population. Linear regression determined the association of injury fatality rates with the SoVI, SVI, and DCI. Bivariate choropleth mapping identified geographic variation and spatial autocorrelation of overall fatality, SoVI, and DCI.\nRESULTS: A total of 3,137 US counties were included. Only 24.6% of counties fell into the same vulnerability quintile for all three indices. Despite this, all indices were associated with increasing fatality rates for overall, firearm, and motor vehicle collision fatality. The DCI performed best by model fit, explanation of variance, and diagnostic performance on overall injury fatality. There is significant geographic variation in SoVI, DCI, and injury fatality rates at the county level across the United States, with moderate spatial autocorrelation of SoVI (Moran's I, 0.35; p &lt; 0.01) and high autocorrelation of injury fatality rates (Moran's I, 0.77; p &lt; 0.01) and DCI (Moran's I, 0.53; p &lt; 0.01).\nCONCLUSION: While the indices contribute unique information, higher social vulnerability is associated with higher injury fatality across all indices. These indices may be useful in the epidemiologic and geographic assessment of injury-related fatality rates. Further study is warranted to determine if these indices outperform traditional measures of socioeconomic status and related constructs used in trauma research.\nLEVEL OF EVIDENCE: Epidemiological, level IV.","citation-key":"phelos_2021_jtraumaacutecaresurg","container-title":"The Journal of Trauma and Acute Care Surgery","DOI":"10.1097/TA.0000000000003228","ISSN":"2163-0763","issue":"2","journalAbbreviation":"J Trauma Acute Care Surg","language":"eng","page":"399-405","PMID":"33852559","PMCID":"PMC8375410","source":"PubMed","title":"Can social vulnerability indices predict county trauma fatality rates?","volume":"91","author":[{"family":"Phelos","given":"Heather M."},{"family":"Deeb","given":"Andrew-Paul"},{"family":"Brown","given":"Joshua B."}],"issued":{"date-parts":[["2021",8,1]]}}},{"id":27490,"uris":["http://zotero.org/users/7595310/items/WMPFYB5Y"],"itemData":{"id":27490,"type":"article-journal","abstract":"BACKGROUND: Differences in social and environmental factors contribute to disparities in fatal injury rates. This study assessed the relationship between social vulnerability and homicide and suicide rates across United States counties.\nMETHODS: County-level age-adjusted homicide and suicide rates for 2016-2020 were linked with data from the Centers for Disease Control and Prevention's 2020 Social Vulnerability Index (SVI), a dataset identifying socially vulnerable communities. We conducted negative binomial regressions to examine the association between SVI and homicide and suicide rates, overall and by Census region/division. We mapped county-level data for SVI and homicide and suicide rates in bivariate choropleth maps.\nRESULTS: Overall SVI was associated with homicide rates across U.S. counties. While no association was found for overall SVI and suicide rates, Socioeconomic Status and Racial &amp; Ethnic Minority Status domains were associated. The geographic distribution of SVI and homicide and suicide rates varied spatially; notably, counties in the South had the greatest levels of social vulnerability and greatest homicide rates.\nCONCLUSIONS: Our findings demonstrate county-level social vulnerability is associated with homicide rates but may be more nuanced for suicide rates. A modified SVI for injury should include additional social and structural determinants and exclude variables not applicable to injuries.\nPRACTICAL APPLICATIONS: This study combines the SVI with homicide and suicide data, enabling researchers to examine related social and environmental factors. Modifying the SVI to include relevant predictors could improve injury prevention strategies by prioritizing efforts in areas with high social vulnerability.","citation-key":"wulz_2024_jsafetyres","container-title":"Journal of Safety Research","DOI":"10.1016/j.jsr.2024.05.012","ISSN":"1879-1247","journalAbbreviation":"J Safety Res","language":"eng","page":"1-8","PMID":"39251268","PMCID":"PMC11581705","source":"PubMed","title":"Association between social vulnerability factors and homicide and suicide rates - united states, 2016 - 2020","volume":"90","author":[{"family":"Wulz","given":"Avital R."},{"family":"Miller","given":"Gabrielle F."},{"family":"Hicks","given":"Lindsay"},{"family":"Wolkin","given":"Amy F."}],"issued":{"date-parts":[["2024",9]]}}}],"schema":"https://github.com/citation-style-language/schema/raw/master/csl-citation.json"} </w:instrText>
      </w:r>
      <w:r w:rsidR="00803D42">
        <w:rPr>
          <w:rFonts w:ascii="Garamond" w:hAnsi="Garamond"/>
          <w:lang w:eastAsia="ko-KR"/>
        </w:rPr>
        <w:fldChar w:fldCharType="separate"/>
      </w:r>
      <w:r w:rsidR="005548B3" w:rsidRPr="005548B3">
        <w:rPr>
          <w:rFonts w:ascii="Garamond" w:hAnsi="Garamond" w:cs="Times New Roman"/>
          <w:kern w:val="0"/>
        </w:rPr>
        <w:t>[23–25]</w:t>
      </w:r>
      <w:r w:rsidR="00803D42">
        <w:rPr>
          <w:rFonts w:ascii="Garamond" w:hAnsi="Garamond"/>
          <w:lang w:eastAsia="ko-KR"/>
        </w:rPr>
        <w:fldChar w:fldCharType="end"/>
      </w:r>
      <w:r w:rsidR="003842D4">
        <w:rPr>
          <w:rFonts w:ascii="Garamond" w:hAnsi="Garamond"/>
        </w:rPr>
        <w:t xml:space="preserve">. </w:t>
      </w:r>
    </w:p>
    <w:p w14:paraId="68ED78D2" w14:textId="6E6D1A57" w:rsidR="00F001C9" w:rsidRDefault="003842D4" w:rsidP="00C028DE">
      <w:pPr>
        <w:spacing w:after="0" w:line="480" w:lineRule="auto"/>
        <w:ind w:firstLine="720"/>
        <w:jc w:val="both"/>
        <w:rPr>
          <w:rFonts w:ascii="Garamond" w:hAnsi="Garamond"/>
        </w:rPr>
      </w:pPr>
      <w:r>
        <w:rPr>
          <w:rFonts w:ascii="Garamond" w:hAnsi="Garamond"/>
        </w:rPr>
        <w:lastRenderedPageBreak/>
        <w:t>Clinical research</w:t>
      </w:r>
      <w:r w:rsidR="0099710D">
        <w:rPr>
          <w:rFonts w:ascii="Garamond" w:hAnsi="Garamond"/>
        </w:rPr>
        <w:t xml:space="preserve"> has also produced </w:t>
      </w:r>
      <w:r w:rsidR="00C87B76">
        <w:rPr>
          <w:rFonts w:ascii="Garamond" w:hAnsi="Garamond"/>
        </w:rPr>
        <w:t>somewhat ambiguous</w:t>
      </w:r>
      <w:r w:rsidR="0099710D">
        <w:rPr>
          <w:rFonts w:ascii="Garamond" w:hAnsi="Garamond"/>
        </w:rPr>
        <w:t xml:space="preserve"> finding</w:t>
      </w:r>
      <w:r w:rsidR="005516B5">
        <w:rPr>
          <w:rFonts w:ascii="Garamond" w:hAnsi="Garamond"/>
        </w:rPr>
        <w:t>s</w:t>
      </w:r>
      <w:r>
        <w:rPr>
          <w:rFonts w:ascii="Garamond" w:hAnsi="Garamond"/>
        </w:rPr>
        <w:t>. For instance</w:t>
      </w:r>
      <w:r w:rsidR="00DF5BFD">
        <w:rPr>
          <w:rFonts w:ascii="Garamond" w:hAnsi="Garamond"/>
        </w:rPr>
        <w:t xml:space="preserve">, </w:t>
      </w:r>
      <w:r w:rsidR="005D674F" w:rsidRPr="005D674F">
        <w:rPr>
          <w:rFonts w:ascii="Garamond" w:hAnsi="Garamond"/>
        </w:rPr>
        <w:t>Spitzer et al. (2022) report that while SVI predicts risk of firearm injury, it does not explain clinical outcomes such as hospital stay or mortality, suggesting its influence is stage-specific along the firearm violence continuum</w:t>
      </w:r>
      <w:r w:rsidR="00CD3E1C">
        <w:rPr>
          <w:rFonts w:ascii="Garamond" w:hAnsi="Garamond"/>
        </w:rPr>
        <w:t>, sorting from where individuals are most likely to appear with penetrating injuries</w:t>
      </w:r>
      <w:r w:rsidR="00B76B99">
        <w:rPr>
          <w:rFonts w:ascii="Garamond" w:hAnsi="Garamond" w:hint="eastAsia"/>
          <w:lang w:eastAsia="ko-KR"/>
        </w:rPr>
        <w:t xml:space="preserve"> </w:t>
      </w:r>
      <w:r w:rsidR="00B76B99">
        <w:rPr>
          <w:rFonts w:ascii="Garamond" w:hAnsi="Garamond"/>
          <w:lang w:eastAsia="ko-KR"/>
        </w:rPr>
        <w:fldChar w:fldCharType="begin"/>
      </w:r>
      <w:r w:rsidR="005548B3">
        <w:rPr>
          <w:rFonts w:ascii="Garamond" w:hAnsi="Garamond"/>
          <w:lang w:eastAsia="ko-KR"/>
        </w:rPr>
        <w:instrText xml:space="preserve"> ADDIN ZOTERO_ITEM CSL_CITATION {"citationID":"k6dGPKCf","properties":{"unsorted":false,"formattedCitation":"[5]","plainCitation":"[5]","noteIndex":0},"citationItems":[{"id":27475,"uris":["http://zotero.org/users/7595310/items/2STCCVQD"],"itemData":{"id":27475,"type":"article-journal","abstract":"BACKGROUND: Firearm injuries' association with individual-level socioeconomic risk is well described. Trauma research has suggested that neighborhood level risk factors may be associated with differences in firearm injury outcome. We analyzed the relationship between hospital length of stay (LOS), mortality and neighborhood level social markers from the Center for Disease Control (CDC) Social Vulnerability Index (SVI) after firearm injury.\nMATERIALS AND METHODS: We used the Healthcare Cost and Utilization Project (HCUP) State Inpatient Database (SID) in 2016 to identify firearm injuries using ICD-10 E-codes. Patient locations were identified at the census tract level. The 2016 CDC SVI was used to evaluate neighborhood level social vulnerability. Logistic and linear multivariable regression were used to evaluate the association between SVI percentile rank, mortality, and LOS.\nRESULTS: We identified 9,764 cases of firearm injury in our database; 88.2% of individuals were male, and the average age was 33.8 years. Assault was the most common intent, accounting for 4682 (48.0%) of all admissions. Overall, SVI was correlated with the risk of firearm injury, but not associated with either outcome of length of stay or risk of death.\nCONCLUSIONS: While there is significant disparity between SVI and risk of firearm injury, once admitted to the hospital outcomes are similar between low and high-vulnerable populations. To reduce disparities in risk, funding and effort should focus on primary prevention.","citation-key":"spitzer_2022_surgpractsci","container-title":"Surgery in Practice and Science","DOI":"10.1016/j.sipas.2022.100130","ISSN":"2666-2620","journalAbbreviation":"Surg Pract Sci","language":"eng","page":"100130","PMID":"39845167","PMCID":"PMC11749173","source":"PubMed","title":"Social vulnerability index and firearms: How neighborhood health disparities affect trauma outcomes","title-short":"Social vulnerability index and firearms","volume":"11","author":[{"family":"Spitzer","given":"Sarabeth"},{"family":"Castillo-Angeles","given":"Manuel"},{"family":"Thomas","given":"Arielle"},{"family":"Hey","given":"Matthew"},{"family":"D'Souza","given":"Karan"},{"family":"Jarman","given":"Molly P."},{"family":"Anderson","given":"Geoffrey A."}],"issued":{"date-parts":[["2022",12]]}}}],"schema":"https://github.com/citation-style-language/schema/raw/master/csl-citation.json"} </w:instrText>
      </w:r>
      <w:r w:rsidR="00B76B99">
        <w:rPr>
          <w:rFonts w:ascii="Garamond" w:hAnsi="Garamond"/>
          <w:lang w:eastAsia="ko-KR"/>
        </w:rPr>
        <w:fldChar w:fldCharType="separate"/>
      </w:r>
      <w:r w:rsidR="005548B3" w:rsidRPr="005548B3">
        <w:rPr>
          <w:rFonts w:ascii="Garamond" w:hAnsi="Garamond"/>
          <w:lang w:eastAsia="ko-KR"/>
        </w:rPr>
        <w:t>[5]</w:t>
      </w:r>
      <w:r w:rsidR="00B76B99">
        <w:rPr>
          <w:rFonts w:ascii="Garamond" w:hAnsi="Garamond"/>
          <w:lang w:eastAsia="ko-KR"/>
        </w:rPr>
        <w:fldChar w:fldCharType="end"/>
      </w:r>
      <w:r w:rsidR="005D674F" w:rsidRPr="005D674F">
        <w:rPr>
          <w:rFonts w:ascii="Garamond" w:hAnsi="Garamond"/>
        </w:rPr>
        <w:t xml:space="preserve">. </w:t>
      </w:r>
      <w:r w:rsidRPr="00D80539">
        <w:rPr>
          <w:rFonts w:ascii="Garamond" w:hAnsi="Garamond"/>
        </w:rPr>
        <w:t xml:space="preserve">Tomas et al. (2024) </w:t>
      </w:r>
      <w:r>
        <w:rPr>
          <w:rFonts w:ascii="Garamond" w:hAnsi="Garamond"/>
        </w:rPr>
        <w:t xml:space="preserve">similarly </w:t>
      </w:r>
      <w:r w:rsidR="00EE3C03">
        <w:rPr>
          <w:rFonts w:ascii="Garamond" w:hAnsi="Garamond"/>
        </w:rPr>
        <w:t>report</w:t>
      </w:r>
      <w:r>
        <w:rPr>
          <w:rFonts w:ascii="Garamond" w:hAnsi="Garamond"/>
        </w:rPr>
        <w:t xml:space="preserve"> </w:t>
      </w:r>
      <w:r w:rsidRPr="00D80539">
        <w:rPr>
          <w:rFonts w:ascii="Garamond" w:hAnsi="Garamond"/>
        </w:rPr>
        <w:t xml:space="preserve">that although most patients in </w:t>
      </w:r>
      <w:r w:rsidR="00EE3C03">
        <w:rPr>
          <w:rFonts w:ascii="Garamond" w:hAnsi="Garamond"/>
        </w:rPr>
        <w:t>their study (Milwaukee County)</w:t>
      </w:r>
      <w:r w:rsidRPr="00D80539">
        <w:rPr>
          <w:rFonts w:ascii="Garamond" w:hAnsi="Garamond"/>
        </w:rPr>
        <w:t xml:space="preserve"> lived in highly vulnerable neighborhoods, SVI was not associated with clinical outcomes such as mortality, ICU use, or ventilator support. Instead, firearm injury density was driven by socioeconomic deprivation and off-premises alcohol outlet density</w:t>
      </w:r>
      <w:r>
        <w:rPr>
          <w:rFonts w:ascii="Garamond" w:hAnsi="Garamond"/>
        </w:rPr>
        <w:t xml:space="preserve"> -- </w:t>
      </w:r>
      <w:r w:rsidRPr="00D80539">
        <w:rPr>
          <w:rFonts w:ascii="Garamond" w:hAnsi="Garamond"/>
        </w:rPr>
        <w:t xml:space="preserve">factors not directly </w:t>
      </w:r>
      <w:r w:rsidR="00EE3C03">
        <w:rPr>
          <w:rFonts w:ascii="Garamond" w:hAnsi="Garamond"/>
        </w:rPr>
        <w:t>gleaned</w:t>
      </w:r>
      <w:r w:rsidRPr="00D80539">
        <w:rPr>
          <w:rFonts w:ascii="Garamond" w:hAnsi="Garamond"/>
        </w:rPr>
        <w:t xml:space="preserve"> </w:t>
      </w:r>
      <w:r w:rsidR="00EE3C03">
        <w:rPr>
          <w:rFonts w:ascii="Garamond" w:hAnsi="Garamond"/>
        </w:rPr>
        <w:t xml:space="preserve">from </w:t>
      </w:r>
      <w:r w:rsidRPr="00D80539">
        <w:rPr>
          <w:rFonts w:ascii="Garamond" w:hAnsi="Garamond"/>
        </w:rPr>
        <w:t>the SVI</w:t>
      </w:r>
      <w:r w:rsidR="00B76B99">
        <w:rPr>
          <w:rFonts w:ascii="Garamond" w:hAnsi="Garamond" w:hint="eastAsia"/>
          <w:lang w:eastAsia="ko-KR"/>
        </w:rPr>
        <w:t xml:space="preserve"> </w:t>
      </w:r>
      <w:r w:rsidR="0075189E">
        <w:rPr>
          <w:rFonts w:ascii="Garamond" w:hAnsi="Garamond"/>
          <w:lang w:eastAsia="ko-KR"/>
        </w:rPr>
        <w:fldChar w:fldCharType="begin"/>
      </w:r>
      <w:r w:rsidR="005548B3">
        <w:rPr>
          <w:rFonts w:ascii="Garamond" w:hAnsi="Garamond"/>
          <w:lang w:eastAsia="ko-KR"/>
        </w:rPr>
        <w:instrText xml:space="preserve"> ADDIN ZOTERO_ITEM CSL_CITATION {"citationID":"nBkP2Gbb","properties":{"unsorted":false,"formattedCitation":"[26]","plainCitation":"[26]","noteIndex":0},"citationItems":[{"id":27500,"uris":["http://zotero.org/users/7595310/items/RWTES4J3"],"itemData":{"id":27500,"type":"article-journal","citation-key":"tomas_2024_socialscience&amp;medicine","container-title":"Social Science &amp; Medicine","DOI":"10.1016/j.socscimed.2024.117035","ISSN":"02779536","journalAbbreviation":"Social Science &amp; Medicine","language":"en","page":"117035","source":"DOI.org (Crossref)","title":"Examining the role of social vulnerability, neighborhood characteristics, and geospatial patterns of firearm-related injuries and clinical outcomes in Milwaukee county","volume":"352","author":[{"family":"Tomas","given":"C.W."},{"family":"Timmer-Murillo","given":"S."},{"family":"Kallies","given":"K.J."},{"family":"Snowden","given":"A.J."},{"family":"Borisy-Rudin","given":"F."},{"family":"Busalacchi","given":"M."},{"family":"Mackenzie","given":"R."},{"family":"Kostelac","given":"C.A."},{"family":"Cassidy","given":"L.D."},{"family":"Cassini","given":"T.A.","non-dropping-particle":"deRoon-"}],"issued":{"date-parts":[["2024",7]]}}}],"schema":"https://github.com/citation-style-language/schema/raw/master/csl-citation.json"} </w:instrText>
      </w:r>
      <w:r w:rsidR="0075189E">
        <w:rPr>
          <w:rFonts w:ascii="Garamond" w:hAnsi="Garamond"/>
          <w:lang w:eastAsia="ko-KR"/>
        </w:rPr>
        <w:fldChar w:fldCharType="separate"/>
      </w:r>
      <w:r w:rsidR="005548B3" w:rsidRPr="005548B3">
        <w:rPr>
          <w:rFonts w:ascii="Garamond" w:hAnsi="Garamond"/>
          <w:lang w:eastAsia="ko-KR"/>
        </w:rPr>
        <w:t>[26]</w:t>
      </w:r>
      <w:r w:rsidR="0075189E">
        <w:rPr>
          <w:rFonts w:ascii="Garamond" w:hAnsi="Garamond"/>
          <w:lang w:eastAsia="ko-KR"/>
        </w:rPr>
        <w:fldChar w:fldCharType="end"/>
      </w:r>
      <w:r w:rsidRPr="00D80539">
        <w:rPr>
          <w:rFonts w:ascii="Garamond" w:hAnsi="Garamond"/>
        </w:rPr>
        <w:t xml:space="preserve">. </w:t>
      </w:r>
    </w:p>
    <w:p w14:paraId="54A65D24" w14:textId="073DE90C" w:rsidR="003842D4" w:rsidRDefault="003842D4" w:rsidP="00C028DE">
      <w:pPr>
        <w:spacing w:after="0" w:line="480" w:lineRule="auto"/>
        <w:ind w:firstLine="720"/>
        <w:jc w:val="both"/>
        <w:rPr>
          <w:rFonts w:ascii="Garamond" w:hAnsi="Garamond"/>
        </w:rPr>
      </w:pPr>
      <w:r w:rsidRPr="00677551">
        <w:rPr>
          <w:rFonts w:ascii="Garamond" w:hAnsi="Garamond"/>
        </w:rPr>
        <w:t xml:space="preserve">In </w:t>
      </w:r>
      <w:r w:rsidR="00C87B76">
        <w:rPr>
          <w:rFonts w:ascii="Garamond" w:hAnsi="Garamond"/>
        </w:rPr>
        <w:t>many</w:t>
      </w:r>
      <w:r w:rsidRPr="00677551">
        <w:rPr>
          <w:rFonts w:ascii="Garamond" w:hAnsi="Garamond"/>
        </w:rPr>
        <w:t xml:space="preserve"> applications, the SVI is treated as a </w:t>
      </w:r>
      <w:r>
        <w:rPr>
          <w:rFonts w:ascii="Garamond" w:hAnsi="Garamond"/>
        </w:rPr>
        <w:t xml:space="preserve">mechanism to </w:t>
      </w:r>
      <w:r w:rsidRPr="00677551">
        <w:rPr>
          <w:rFonts w:ascii="Garamond" w:hAnsi="Garamond"/>
        </w:rPr>
        <w:t xml:space="preserve">identify </w:t>
      </w:r>
      <w:r>
        <w:rPr>
          <w:rFonts w:ascii="Garamond" w:hAnsi="Garamond"/>
        </w:rPr>
        <w:t>communities</w:t>
      </w:r>
      <w:r w:rsidRPr="00677551">
        <w:rPr>
          <w:rFonts w:ascii="Garamond" w:hAnsi="Garamond"/>
        </w:rPr>
        <w:t xml:space="preserve"> </w:t>
      </w:r>
      <w:r w:rsidR="00482790">
        <w:rPr>
          <w:rFonts w:ascii="Garamond" w:hAnsi="Garamond"/>
        </w:rPr>
        <w:t xml:space="preserve">in which </w:t>
      </w:r>
      <w:r w:rsidRPr="00677551">
        <w:rPr>
          <w:rFonts w:ascii="Garamond" w:hAnsi="Garamond"/>
        </w:rPr>
        <w:t xml:space="preserve">structural disadvantages and limited institutional capacity </w:t>
      </w:r>
      <w:r>
        <w:rPr>
          <w:rFonts w:ascii="Garamond" w:hAnsi="Garamond"/>
        </w:rPr>
        <w:t>cluster in space and time with</w:t>
      </w:r>
      <w:r w:rsidR="00837B34">
        <w:rPr>
          <w:rFonts w:ascii="Garamond" w:hAnsi="Garamond"/>
        </w:rPr>
        <w:t xml:space="preserve"> rates of</w:t>
      </w:r>
      <w:r w:rsidRPr="00677551">
        <w:rPr>
          <w:rFonts w:ascii="Garamond" w:hAnsi="Garamond"/>
        </w:rPr>
        <w:t xml:space="preserve"> firearm </w:t>
      </w:r>
      <w:r w:rsidR="00837B34">
        <w:rPr>
          <w:rFonts w:ascii="Garamond" w:hAnsi="Garamond"/>
        </w:rPr>
        <w:t>violence</w:t>
      </w:r>
      <w:r w:rsidRPr="00677551">
        <w:rPr>
          <w:rFonts w:ascii="Garamond" w:hAnsi="Garamond"/>
        </w:rPr>
        <w:t>. A smaller but growing subset of studies extend this logic further, invoking the SVI as reflecting structural racism or systemic inequities</w:t>
      </w:r>
      <w:r>
        <w:rPr>
          <w:rFonts w:ascii="Garamond" w:hAnsi="Garamond"/>
        </w:rPr>
        <w:t xml:space="preserve"> more generally</w:t>
      </w:r>
      <w:r w:rsidR="00E943D4">
        <w:rPr>
          <w:rFonts w:ascii="Garamond" w:hAnsi="Garamond" w:hint="eastAsia"/>
          <w:lang w:eastAsia="ko-KR"/>
        </w:rPr>
        <w:t xml:space="preserve"> </w:t>
      </w:r>
      <w:r w:rsidR="00E943D4">
        <w:rPr>
          <w:rFonts w:ascii="Garamond" w:hAnsi="Garamond"/>
          <w:lang w:eastAsia="ko-KR"/>
        </w:rPr>
        <w:fldChar w:fldCharType="begin"/>
      </w:r>
      <w:r w:rsidR="005548B3">
        <w:rPr>
          <w:rFonts w:ascii="Garamond" w:hAnsi="Garamond"/>
          <w:lang w:eastAsia="ko-KR"/>
        </w:rPr>
        <w:instrText xml:space="preserve"> ADDIN ZOTERO_ITEM CSL_CITATION {"citationID":"Kj4Ku0hF","properties":{"unsorted":false,"formattedCitation":"[27]","plainCitation":"[27]","noteIndex":0},"citationItems":[{"id":27458,"uris":["http://zotero.org/users/7595310/items/U6H276PM"],"itemData":{"id":27458,"type":"article-journal","citation-key":"sadecki_2026_","language":"en","source":"www.annfammed.org","title":"RE: Using vulnerability indices to improve our measurement of structural racism in health services research","title-short":"RE","URL":"https://www.annfammed.org/content/re-using-vulnerability-indices-improve-our-measurement-structural-racism-health-services","author":[{"family":"Sadecki","given":"Emily J."},{"family":"Cronholm","given":"Peter F."}],"accessed":{"date-parts":[["2026",6,2]]},"issued":{"date-parts":[["2026",6,2]]}}}],"schema":"https://github.com/citation-style-language/schema/raw/master/csl-citation.json"} </w:instrText>
      </w:r>
      <w:r w:rsidR="00E943D4">
        <w:rPr>
          <w:rFonts w:ascii="Garamond" w:hAnsi="Garamond"/>
          <w:lang w:eastAsia="ko-KR"/>
        </w:rPr>
        <w:fldChar w:fldCharType="separate"/>
      </w:r>
      <w:r w:rsidR="005548B3" w:rsidRPr="005548B3">
        <w:rPr>
          <w:rFonts w:ascii="Garamond" w:hAnsi="Garamond"/>
          <w:lang w:eastAsia="ko-KR"/>
        </w:rPr>
        <w:t>[27]</w:t>
      </w:r>
      <w:r w:rsidR="00E943D4">
        <w:rPr>
          <w:rFonts w:ascii="Garamond" w:hAnsi="Garamond"/>
          <w:lang w:eastAsia="ko-KR"/>
        </w:rPr>
        <w:fldChar w:fldCharType="end"/>
      </w:r>
      <w:r w:rsidRPr="00677551">
        <w:rPr>
          <w:rFonts w:ascii="Garamond" w:hAnsi="Garamond"/>
        </w:rPr>
        <w:t xml:space="preserve">. </w:t>
      </w:r>
      <w:r>
        <w:rPr>
          <w:rFonts w:ascii="Garamond" w:hAnsi="Garamond"/>
        </w:rPr>
        <w:t>This research</w:t>
      </w:r>
      <w:r w:rsidRPr="00677551">
        <w:rPr>
          <w:rFonts w:ascii="Garamond" w:hAnsi="Garamond"/>
        </w:rPr>
        <w:t xml:space="preserve"> frame</w:t>
      </w:r>
      <w:r w:rsidR="005516B5">
        <w:rPr>
          <w:rFonts w:ascii="Garamond" w:hAnsi="Garamond"/>
        </w:rPr>
        <w:t>s</w:t>
      </w:r>
      <w:r w:rsidRPr="00677551">
        <w:rPr>
          <w:rFonts w:ascii="Garamond" w:hAnsi="Garamond"/>
        </w:rPr>
        <w:t xml:space="preserve"> the </w:t>
      </w:r>
      <w:r>
        <w:rPr>
          <w:rFonts w:ascii="Garamond" w:hAnsi="Garamond"/>
        </w:rPr>
        <w:t>SVI</w:t>
      </w:r>
      <w:r w:rsidRPr="00677551">
        <w:rPr>
          <w:rFonts w:ascii="Garamond" w:hAnsi="Garamond"/>
        </w:rPr>
        <w:t xml:space="preserve"> as </w:t>
      </w:r>
      <w:r>
        <w:rPr>
          <w:rFonts w:ascii="Garamond" w:hAnsi="Garamond"/>
        </w:rPr>
        <w:t>capturing</w:t>
      </w:r>
      <w:r w:rsidRPr="00677551">
        <w:rPr>
          <w:rFonts w:ascii="Garamond" w:hAnsi="Garamond"/>
        </w:rPr>
        <w:t xml:space="preserve"> the downstream effects of racialized social structures</w:t>
      </w:r>
      <w:r w:rsidR="00491483">
        <w:rPr>
          <w:rFonts w:ascii="Garamond" w:hAnsi="Garamond"/>
        </w:rPr>
        <w:t xml:space="preserve">, such as </w:t>
      </w:r>
      <w:r w:rsidRPr="00677551">
        <w:rPr>
          <w:rFonts w:ascii="Garamond" w:hAnsi="Garamond"/>
        </w:rPr>
        <w:t>segregation, disinvestment, and historical redlining</w:t>
      </w:r>
      <w:r w:rsidR="00491483">
        <w:rPr>
          <w:rFonts w:ascii="Garamond" w:hAnsi="Garamond"/>
        </w:rPr>
        <w:t xml:space="preserve">, </w:t>
      </w:r>
      <w:r w:rsidRPr="00677551">
        <w:rPr>
          <w:rFonts w:ascii="Garamond" w:hAnsi="Garamond"/>
        </w:rPr>
        <w:t xml:space="preserve">even when those processes are not directly measured by its </w:t>
      </w:r>
      <w:r>
        <w:rPr>
          <w:rFonts w:ascii="Garamond" w:hAnsi="Garamond"/>
        </w:rPr>
        <w:t>constituent parts</w:t>
      </w:r>
      <w:r w:rsidRPr="00677551">
        <w:rPr>
          <w:rFonts w:ascii="Garamond" w:hAnsi="Garamond"/>
        </w:rPr>
        <w:t xml:space="preserve">. Taken together, </w:t>
      </w:r>
      <w:r>
        <w:rPr>
          <w:rFonts w:ascii="Garamond" w:hAnsi="Garamond"/>
        </w:rPr>
        <w:t>extent research highlights</w:t>
      </w:r>
      <w:r w:rsidRPr="00677551">
        <w:rPr>
          <w:rFonts w:ascii="Garamond" w:hAnsi="Garamond"/>
        </w:rPr>
        <w:t xml:space="preserve"> the</w:t>
      </w:r>
      <w:r>
        <w:rPr>
          <w:rFonts w:ascii="Garamond" w:hAnsi="Garamond"/>
        </w:rPr>
        <w:t xml:space="preserve"> simultaneous</w:t>
      </w:r>
      <w:r w:rsidRPr="00677551">
        <w:rPr>
          <w:rFonts w:ascii="Garamond" w:hAnsi="Garamond"/>
        </w:rPr>
        <w:t xml:space="preserve"> appeal and ambiguity of the SVI</w:t>
      </w:r>
      <w:r w:rsidR="00645F7C">
        <w:rPr>
          <w:rFonts w:ascii="Garamond" w:hAnsi="Garamond"/>
        </w:rPr>
        <w:t>.</w:t>
      </w:r>
      <w:r w:rsidRPr="00677551">
        <w:rPr>
          <w:rFonts w:ascii="Garamond" w:hAnsi="Garamond"/>
        </w:rPr>
        <w:t xml:space="preserve"> </w:t>
      </w:r>
      <w:r w:rsidR="00645F7C">
        <w:rPr>
          <w:rFonts w:ascii="Garamond" w:hAnsi="Garamond"/>
        </w:rPr>
        <w:t>I</w:t>
      </w:r>
      <w:r w:rsidRPr="00677551">
        <w:rPr>
          <w:rFonts w:ascii="Garamond" w:hAnsi="Garamond"/>
        </w:rPr>
        <w:t xml:space="preserve">ts simplicity and </w:t>
      </w:r>
      <w:r>
        <w:rPr>
          <w:rFonts w:ascii="Garamond" w:hAnsi="Garamond"/>
        </w:rPr>
        <w:t>publicly available nature make</w:t>
      </w:r>
      <w:r w:rsidRPr="00677551">
        <w:rPr>
          <w:rFonts w:ascii="Garamond" w:hAnsi="Garamond"/>
        </w:rPr>
        <w:t xml:space="preserve"> it an attractive covariate, </w:t>
      </w:r>
      <w:r w:rsidR="003B2D9E">
        <w:rPr>
          <w:rFonts w:ascii="Garamond" w:hAnsi="Garamond"/>
        </w:rPr>
        <w:t>while</w:t>
      </w:r>
      <w:r w:rsidRPr="00677551">
        <w:rPr>
          <w:rFonts w:ascii="Garamond" w:hAnsi="Garamond"/>
        </w:rPr>
        <w:t xml:space="preserve"> its conceptual</w:t>
      </w:r>
      <w:r w:rsidRPr="00511037">
        <w:rPr>
          <w:rFonts w:ascii="Garamond" w:hAnsi="Garamond"/>
        </w:rPr>
        <w:t xml:space="preserve"> </w:t>
      </w:r>
      <w:r>
        <w:rPr>
          <w:rFonts w:ascii="Garamond" w:hAnsi="Garamond"/>
        </w:rPr>
        <w:t>squishiness</w:t>
      </w:r>
      <w:r w:rsidRPr="00511037">
        <w:rPr>
          <w:rFonts w:ascii="Garamond" w:hAnsi="Garamond"/>
        </w:rPr>
        <w:t xml:space="preserve"> allows it to be invoked as evidence of “community vulnerability,” “social disadvantage,” “structural inequity,” or even “racism” depending on </w:t>
      </w:r>
      <w:r>
        <w:rPr>
          <w:rFonts w:ascii="Garamond" w:hAnsi="Garamond"/>
        </w:rPr>
        <w:t>the task at hand</w:t>
      </w:r>
      <w:r w:rsidRPr="00511037">
        <w:rPr>
          <w:rFonts w:ascii="Garamond" w:hAnsi="Garamond"/>
        </w:rPr>
        <w:t>.</w:t>
      </w:r>
    </w:p>
    <w:p w14:paraId="528889F0" w14:textId="6D503C63" w:rsidR="00E8545F" w:rsidRDefault="005516B5" w:rsidP="00C028DE">
      <w:pPr>
        <w:spacing w:after="0" w:line="480" w:lineRule="auto"/>
        <w:ind w:firstLine="720"/>
        <w:jc w:val="both"/>
        <w:rPr>
          <w:rFonts w:ascii="Garamond" w:hAnsi="Garamond"/>
        </w:rPr>
      </w:pPr>
      <w:r>
        <w:rPr>
          <w:rFonts w:ascii="Garamond" w:hAnsi="Garamond"/>
        </w:rPr>
        <w:t>Research on the measurement properties of the SVI</w:t>
      </w:r>
      <w:r w:rsidR="003842D4" w:rsidRPr="00D80539">
        <w:rPr>
          <w:rFonts w:ascii="Garamond" w:hAnsi="Garamond"/>
        </w:rPr>
        <w:t xml:space="preserve"> </w:t>
      </w:r>
      <w:r w:rsidR="006E0C47">
        <w:rPr>
          <w:rFonts w:ascii="Garamond" w:hAnsi="Garamond"/>
        </w:rPr>
        <w:t>further</w:t>
      </w:r>
      <w:r w:rsidR="003842D4" w:rsidRPr="00D80539">
        <w:rPr>
          <w:rFonts w:ascii="Garamond" w:hAnsi="Garamond"/>
        </w:rPr>
        <w:t xml:space="preserve"> this ambiguity. </w:t>
      </w:r>
      <w:proofErr w:type="spellStart"/>
      <w:r w:rsidR="003842D4" w:rsidRPr="00D80539">
        <w:rPr>
          <w:rFonts w:ascii="Garamond" w:hAnsi="Garamond"/>
        </w:rPr>
        <w:t>Phelos</w:t>
      </w:r>
      <w:proofErr w:type="spellEnd"/>
      <w:r w:rsidR="003842D4" w:rsidRPr="00D80539">
        <w:rPr>
          <w:rFonts w:ascii="Garamond" w:hAnsi="Garamond"/>
        </w:rPr>
        <w:t xml:space="preserve"> et al. (2021) compared three widely used indices</w:t>
      </w:r>
      <w:r w:rsidR="003842D4">
        <w:rPr>
          <w:rFonts w:ascii="Garamond" w:hAnsi="Garamond"/>
        </w:rPr>
        <w:t xml:space="preserve"> of community vulnerability</w:t>
      </w:r>
      <w:r w:rsidR="003842D4" w:rsidRPr="00D80539">
        <w:rPr>
          <w:rFonts w:ascii="Garamond" w:hAnsi="Garamond"/>
        </w:rPr>
        <w:t xml:space="preserve">—SVI, the Hazards &amp; Vulnerability Institute’s </w:t>
      </w:r>
      <w:proofErr w:type="spellStart"/>
      <w:r w:rsidR="003842D4" w:rsidRPr="00D80539">
        <w:rPr>
          <w:rFonts w:ascii="Garamond" w:hAnsi="Garamond"/>
        </w:rPr>
        <w:t>SoVI</w:t>
      </w:r>
      <w:proofErr w:type="spellEnd"/>
      <w:r w:rsidR="003842D4" w:rsidRPr="00D80539">
        <w:rPr>
          <w:rFonts w:ascii="Garamond" w:hAnsi="Garamond"/>
        </w:rPr>
        <w:t>, and the Economic Innovation Group’s Distressed Communities Index (DCI)—and found that although all three measures were associated with fatality rates, their performance varied considerably</w:t>
      </w:r>
      <w:r w:rsidR="00E943D4">
        <w:rPr>
          <w:rFonts w:ascii="Garamond" w:hAnsi="Garamond" w:hint="eastAsia"/>
          <w:lang w:eastAsia="ko-KR"/>
        </w:rPr>
        <w:t xml:space="preserve"> </w:t>
      </w:r>
      <w:r w:rsidR="00E943D4">
        <w:rPr>
          <w:rFonts w:ascii="Garamond" w:hAnsi="Garamond"/>
          <w:lang w:eastAsia="ko-KR"/>
        </w:rPr>
        <w:fldChar w:fldCharType="begin"/>
      </w:r>
      <w:r w:rsidR="005548B3">
        <w:rPr>
          <w:rFonts w:ascii="Garamond" w:hAnsi="Garamond"/>
          <w:lang w:eastAsia="ko-KR"/>
        </w:rPr>
        <w:instrText xml:space="preserve"> ADDIN ZOTERO_ITEM CSL_CITATION {"citationID":"gxYNZ3QY","properties":{"unsorted":false,"formattedCitation":"[24]","plainCitation":"[24]","noteIndex":0},"citationItems":[{"id":27447,"uris":["http://zotero.org/users/7595310/items/Q99HBMXZ"],"itemData":{"id":27447,"type":"article-journal","abstract":"BACKGROUND: Social vulnerability indices were created to measure resiliency to environmental disasters based on socioeconomic and population characteristics of discrete geographic regions. They are composed of multiple validated constructs that can also potentially identify geographically vulnerable populations after injury. Our objective was to determine if these indices correlate with injury fatality rates in the US.\nMETHODS: We evaluated three social vulnerability indices: The Hazards &amp; Vulnerability Research Institute's Social Vulnerability Index (SoVI), the Center for Disease Control's Social Vulnerability Index (SVI), and the Economic Innovation Group's Distressed Community Index (DCI). We analyzed SVI subindices and common individual census variables as indicators of socioeconomic status. Outcomes included age-adjusted county-level overall, firearm, and motor vehicle collision deaths per 100,000 population. Linear regression determined the association of injury fatality rates with the SoVI, SVI, and DCI. Bivariate choropleth mapping identified geographic variation and spatial autocorrelation of overall fatality, SoVI, and DCI.\nRESULTS: A total of 3,137 US counties were included. Only 24.6% of counties fell into the same vulnerability quintile for all three indices. Despite this, all indices were associated with increasing fatality rates for overall, firearm, and motor vehicle collision fatality. The DCI performed best by model fit, explanation of variance, and diagnostic performance on overall injury fatality. There is significant geographic variation in SoVI, DCI, and injury fatality rates at the county level across the United States, with moderate spatial autocorrelation of SoVI (Moran's I, 0.35; p &lt; 0.01) and high autocorrelation of injury fatality rates (Moran's I, 0.77; p &lt; 0.01) and DCI (Moran's I, 0.53; p &lt; 0.01).\nCONCLUSION: While the indices contribute unique information, higher social vulnerability is associated with higher injury fatality across all indices. These indices may be useful in the epidemiologic and geographic assessment of injury-related fatality rates. Further study is warranted to determine if these indices outperform traditional measures of socioeconomic status and related constructs used in trauma research.\nLEVEL OF EVIDENCE: Epidemiological, level IV.","citation-key":"phelos_2021_jtraumaacutecaresurg","container-title":"The Journal of Trauma and Acute Care Surgery","DOI":"10.1097/TA.0000000000003228","ISSN":"2163-0763","issue":"2","journalAbbreviation":"J Trauma Acute Care Surg","language":"eng","page":"399-405","PMID":"33852559","PMCID":"PMC8375410","source":"PubMed","title":"Can social vulnerability indices predict county trauma fatality rates?","volume":"91","author":[{"family":"Phelos","given":"Heather M."},{"family":"Deeb","given":"Andrew-Paul"},{"family":"Brown","given":"Joshua B."}],"issued":{"date-parts":[["2021",8,1]]}}}],"schema":"https://github.com/citation-style-language/schema/raw/master/csl-citation.json"} </w:instrText>
      </w:r>
      <w:r w:rsidR="00E943D4">
        <w:rPr>
          <w:rFonts w:ascii="Garamond" w:hAnsi="Garamond"/>
          <w:lang w:eastAsia="ko-KR"/>
        </w:rPr>
        <w:fldChar w:fldCharType="separate"/>
      </w:r>
      <w:r w:rsidR="005548B3" w:rsidRPr="005548B3">
        <w:rPr>
          <w:rFonts w:ascii="Garamond" w:hAnsi="Garamond"/>
          <w:lang w:eastAsia="ko-KR"/>
        </w:rPr>
        <w:t>[24]</w:t>
      </w:r>
      <w:r w:rsidR="00E943D4">
        <w:rPr>
          <w:rFonts w:ascii="Garamond" w:hAnsi="Garamond"/>
          <w:lang w:eastAsia="ko-KR"/>
        </w:rPr>
        <w:fldChar w:fldCharType="end"/>
      </w:r>
      <w:r w:rsidR="003842D4" w:rsidRPr="00D80539">
        <w:rPr>
          <w:rFonts w:ascii="Garamond" w:hAnsi="Garamond"/>
        </w:rPr>
        <w:t xml:space="preserve">. </w:t>
      </w:r>
      <w:r w:rsidR="006E0C47">
        <w:rPr>
          <w:rFonts w:ascii="Garamond" w:hAnsi="Garamond"/>
        </w:rPr>
        <w:t>A</w:t>
      </w:r>
      <w:r w:rsidR="006E0C47" w:rsidRPr="00D80539">
        <w:rPr>
          <w:rFonts w:ascii="Garamond" w:hAnsi="Garamond"/>
        </w:rPr>
        <w:t xml:space="preserve">cross models, DCI consistently outperformed both </w:t>
      </w:r>
      <w:r w:rsidR="001127A9">
        <w:rPr>
          <w:rFonts w:ascii="Garamond" w:hAnsi="Garamond"/>
        </w:rPr>
        <w:t xml:space="preserve">the </w:t>
      </w:r>
      <w:r w:rsidR="006E0C47" w:rsidRPr="00D80539">
        <w:rPr>
          <w:rFonts w:ascii="Garamond" w:hAnsi="Garamond"/>
        </w:rPr>
        <w:t xml:space="preserve">SVI and </w:t>
      </w:r>
      <w:proofErr w:type="spellStart"/>
      <w:r w:rsidR="006E0C47" w:rsidRPr="00D80539">
        <w:rPr>
          <w:rFonts w:ascii="Garamond" w:hAnsi="Garamond"/>
        </w:rPr>
        <w:t>SoVI</w:t>
      </w:r>
      <w:proofErr w:type="spellEnd"/>
      <w:r w:rsidR="006E0C47" w:rsidRPr="00D80539">
        <w:rPr>
          <w:rFonts w:ascii="Garamond" w:hAnsi="Garamond"/>
        </w:rPr>
        <w:t xml:space="preserve"> in terms of model fit, explained variance, and diagnostic accuracy, suggesting that economic distress may better </w:t>
      </w:r>
      <w:r w:rsidR="006E0C47" w:rsidRPr="00D80539">
        <w:rPr>
          <w:rFonts w:ascii="Garamond" w:hAnsi="Garamond"/>
        </w:rPr>
        <w:lastRenderedPageBreak/>
        <w:t xml:space="preserve">capture the dimensions of vulnerability most relevant to </w:t>
      </w:r>
      <w:r w:rsidR="006E0C47">
        <w:rPr>
          <w:rFonts w:ascii="Garamond" w:hAnsi="Garamond"/>
        </w:rPr>
        <w:t>firearm violence</w:t>
      </w:r>
      <w:r w:rsidR="003842D4">
        <w:rPr>
          <w:rFonts w:ascii="Garamond" w:hAnsi="Garamond"/>
        </w:rPr>
        <w:t xml:space="preserve"> Indeed, empirical research on </w:t>
      </w:r>
      <w:r w:rsidR="00780B18">
        <w:rPr>
          <w:rFonts w:ascii="Garamond" w:hAnsi="Garamond"/>
        </w:rPr>
        <w:t>aggregate</w:t>
      </w:r>
      <w:r w:rsidR="003842D4">
        <w:rPr>
          <w:rFonts w:ascii="Garamond" w:hAnsi="Garamond"/>
        </w:rPr>
        <w:t xml:space="preserve"> crime rates going back at least 200 years </w:t>
      </w:r>
      <w:r w:rsidR="00EE15A5">
        <w:rPr>
          <w:rFonts w:ascii="Garamond" w:hAnsi="Garamond"/>
        </w:rPr>
        <w:t>supports</w:t>
      </w:r>
      <w:r w:rsidR="003842D4">
        <w:rPr>
          <w:rFonts w:ascii="Garamond" w:hAnsi="Garamond"/>
        </w:rPr>
        <w:t xml:space="preserve"> this point: The strongest macro-level correlates of crime relate to </w:t>
      </w:r>
      <w:r w:rsidR="00EE15A5">
        <w:rPr>
          <w:rFonts w:ascii="Garamond" w:hAnsi="Garamond"/>
        </w:rPr>
        <w:t>economic</w:t>
      </w:r>
      <w:r w:rsidR="003842D4">
        <w:rPr>
          <w:rFonts w:ascii="Garamond" w:hAnsi="Garamond"/>
        </w:rPr>
        <w:t xml:space="preserve"> deprivation</w:t>
      </w:r>
      <w:r w:rsidR="006E0C47">
        <w:rPr>
          <w:rFonts w:ascii="Garamond" w:hAnsi="Garamond"/>
        </w:rPr>
        <w:t xml:space="preserve"> and poverty</w:t>
      </w:r>
      <w:r w:rsidR="003842D4">
        <w:rPr>
          <w:rFonts w:ascii="Garamond" w:hAnsi="Garamond"/>
        </w:rPr>
        <w:t>, referred to</w:t>
      </w:r>
      <w:r w:rsidR="006E0C47">
        <w:rPr>
          <w:rFonts w:ascii="Garamond" w:hAnsi="Garamond"/>
        </w:rPr>
        <w:t xml:space="preserve"> contemporarily</w:t>
      </w:r>
      <w:r w:rsidR="003842D4">
        <w:rPr>
          <w:rFonts w:ascii="Garamond" w:hAnsi="Garamond"/>
        </w:rPr>
        <w:t xml:space="preserve"> as “concentrated disadvantage</w:t>
      </w:r>
      <w:r w:rsidR="00D120B0">
        <w:rPr>
          <w:rFonts w:ascii="Garamond" w:hAnsi="Garamond"/>
        </w:rPr>
        <w:t>.”</w:t>
      </w:r>
      <w:r w:rsidR="003842D4">
        <w:rPr>
          <w:rFonts w:ascii="Garamond" w:hAnsi="Garamond"/>
        </w:rPr>
        <w:t xml:space="preserve"> </w:t>
      </w:r>
    </w:p>
    <w:p w14:paraId="213A4CF0" w14:textId="3990F4F2" w:rsidR="003842D4" w:rsidRDefault="00666372" w:rsidP="00C028DE">
      <w:pPr>
        <w:spacing w:after="0" w:line="480" w:lineRule="auto"/>
        <w:ind w:firstLine="720"/>
        <w:jc w:val="both"/>
        <w:rPr>
          <w:rFonts w:ascii="Garamond" w:hAnsi="Garamond"/>
        </w:rPr>
      </w:pPr>
      <w:r>
        <w:rPr>
          <w:rFonts w:ascii="Garamond" w:hAnsi="Garamond"/>
        </w:rPr>
        <w:t xml:space="preserve">First introduced by Wilson (1987), concentrated disadvantage refers </w:t>
      </w:r>
      <w:r w:rsidRPr="00666372">
        <w:rPr>
          <w:rFonts w:ascii="Garamond" w:hAnsi="Garamond"/>
        </w:rPr>
        <w:t xml:space="preserve">to the spatial concentration of poverty, </w:t>
      </w:r>
      <w:r w:rsidR="00837B34">
        <w:rPr>
          <w:rFonts w:ascii="Garamond" w:hAnsi="Garamond"/>
        </w:rPr>
        <w:t>unemployment,</w:t>
      </w:r>
      <w:r w:rsidRPr="00666372">
        <w:rPr>
          <w:rFonts w:ascii="Garamond" w:hAnsi="Garamond"/>
        </w:rPr>
        <w:t xml:space="preserve"> and social isolation in inner-city neighborhoods, driven by structural economic shifts </w:t>
      </w:r>
      <w:r w:rsidR="0038600D">
        <w:rPr>
          <w:rFonts w:ascii="Garamond" w:hAnsi="Garamond"/>
        </w:rPr>
        <w:t>wrought by</w:t>
      </w:r>
      <w:r w:rsidRPr="00666372">
        <w:rPr>
          <w:rFonts w:ascii="Garamond" w:hAnsi="Garamond"/>
        </w:rPr>
        <w:t xml:space="preserve"> deindustrialization and the </w:t>
      </w:r>
      <w:r w:rsidR="00837B34">
        <w:rPr>
          <w:rFonts w:ascii="Garamond" w:hAnsi="Garamond"/>
        </w:rPr>
        <w:t>outmigration</w:t>
      </w:r>
      <w:r w:rsidRPr="00666372">
        <w:rPr>
          <w:rFonts w:ascii="Garamond" w:hAnsi="Garamond"/>
        </w:rPr>
        <w:t xml:space="preserve"> of middle-class residents</w:t>
      </w:r>
      <w:r>
        <w:rPr>
          <w:rFonts w:ascii="Garamond" w:hAnsi="Garamond"/>
        </w:rPr>
        <w:t xml:space="preserve"> from American cities beginning in the mid-1970s</w:t>
      </w:r>
      <w:r w:rsidR="004B7445">
        <w:rPr>
          <w:rFonts w:ascii="Garamond" w:hAnsi="Garamond" w:hint="eastAsia"/>
          <w:lang w:eastAsia="ko-KR"/>
        </w:rPr>
        <w:t xml:space="preserve"> </w:t>
      </w:r>
      <w:r w:rsidR="004B7445">
        <w:rPr>
          <w:rFonts w:ascii="Garamond" w:hAnsi="Garamond"/>
          <w:lang w:eastAsia="ko-KR"/>
        </w:rPr>
        <w:fldChar w:fldCharType="begin"/>
      </w:r>
      <w:r w:rsidR="005548B3">
        <w:rPr>
          <w:rFonts w:ascii="Garamond" w:hAnsi="Garamond"/>
          <w:lang w:eastAsia="ko-KR"/>
        </w:rPr>
        <w:instrText xml:space="preserve"> ADDIN ZOTERO_ITEM CSL_CITATION {"citationID":"eNZ4biEW","properties":{"unsorted":false,"formattedCitation":"[28]","plainCitation":"[28]","noteIndex":0},"citationItems":[{"id":27495,"uris":["http://zotero.org/users/7595310/items/WES9Q6GA"],"itemData":{"id":27495,"type":"book","abstract":"An assessment of the relationship between race and poverty in the United States, and potential solutions for the issue.  Renowned American sociologist William Julius Wilson takes a look at the social transformation of inner-city ghettos, offering a sharp evaluation of the convergence of race and poverty. Rejecting both conservative and liberal interpretations of life in the inner city, Wilson offers essential information and several solutions to policymakers. The Truly Disadvantaged is a wide-ranging examination, looking at the relationship between race, employment, and education from the 1950s onwards, with surprising and provocative findings. This second edition also includes a new afterword from Wilson himself that brings the book up to date and offers fresh insight into its findings.  Praise for The Truly Disadvantaged   \" The Truly Disadvantaged should spur critical thinking in many quarters about the causes and possible remedies for inner city poverty. As policymakers grapple with the problems of an enlarged underclass they—as well as community leaders and all concerned Americans of all races—would be advised to examine Mr. Wilson's incisive analysis.\" —Robert Greenstein, New York Times Book Review  \" The Truly Disadvantaged not only assembles a vast array of data gleamed from the works of specialists, it offers much new information and analysis. Wilson has asked the hard questions, he has done his homework, and he has dared to speak unpopular truths.\" — Los Angeles Times Book Review  \"Required reading for anyone, presidential candidate or private citizen, who really wants to address the growing plight of the black urban underclass.\" —David J. Garrow, Washington Post Book World","citation-key":"wilson_2012_a","ISBN":"978-0-226-92465-6","language":"en","note":"Google-Books-ID: N_tVVPXLfMIC","number-of-pages":"331","publisher":"University of Chicago Press","source":"Google Books","title":"The truly disadvantaged: The inner city, the underclass, and public policy","title-short":"The truly disadvantaged","author":[{"family":"Wilson","given":"William Julius"}],"issued":{"date-parts":[["2012",6,29]]}}}],"schema":"https://github.com/citation-style-language/schema/raw/master/csl-citation.json"} </w:instrText>
      </w:r>
      <w:r w:rsidR="004B7445">
        <w:rPr>
          <w:rFonts w:ascii="Garamond" w:hAnsi="Garamond"/>
          <w:lang w:eastAsia="ko-KR"/>
        </w:rPr>
        <w:fldChar w:fldCharType="separate"/>
      </w:r>
      <w:r w:rsidR="005548B3" w:rsidRPr="005548B3">
        <w:rPr>
          <w:rFonts w:ascii="Garamond" w:hAnsi="Garamond"/>
          <w:lang w:eastAsia="ko-KR"/>
        </w:rPr>
        <w:t>[28]</w:t>
      </w:r>
      <w:r w:rsidR="004B7445">
        <w:rPr>
          <w:rFonts w:ascii="Garamond" w:hAnsi="Garamond"/>
          <w:lang w:eastAsia="ko-KR"/>
        </w:rPr>
        <w:fldChar w:fldCharType="end"/>
      </w:r>
      <w:r>
        <w:rPr>
          <w:rFonts w:ascii="Garamond" w:hAnsi="Garamond"/>
        </w:rPr>
        <w:t xml:space="preserve">. </w:t>
      </w:r>
      <w:r w:rsidR="003842D4">
        <w:rPr>
          <w:rFonts w:ascii="Garamond" w:hAnsi="Garamond"/>
        </w:rPr>
        <w:t xml:space="preserve">Concentrated </w:t>
      </w:r>
      <w:r w:rsidR="003842D4" w:rsidRPr="00876B22">
        <w:rPr>
          <w:rFonts w:ascii="Garamond" w:hAnsi="Garamond"/>
        </w:rPr>
        <w:t xml:space="preserve">disadvantage </w:t>
      </w:r>
      <w:r w:rsidR="003842D4">
        <w:rPr>
          <w:rFonts w:ascii="Garamond" w:hAnsi="Garamond"/>
        </w:rPr>
        <w:t>is thought to increase</w:t>
      </w:r>
      <w:r w:rsidR="003842D4" w:rsidRPr="00876B22">
        <w:rPr>
          <w:rFonts w:ascii="Garamond" w:hAnsi="Garamond"/>
        </w:rPr>
        <w:t xml:space="preserve"> </w:t>
      </w:r>
      <w:r w:rsidR="003842D4">
        <w:rPr>
          <w:rFonts w:ascii="Garamond" w:hAnsi="Garamond"/>
        </w:rPr>
        <w:t>community</w:t>
      </w:r>
      <w:r w:rsidR="003842D4" w:rsidRPr="00876B22">
        <w:rPr>
          <w:rFonts w:ascii="Garamond" w:hAnsi="Garamond"/>
        </w:rPr>
        <w:t xml:space="preserve"> crime rates </w:t>
      </w:r>
      <w:r w:rsidR="003842D4">
        <w:rPr>
          <w:rFonts w:ascii="Garamond" w:hAnsi="Garamond"/>
        </w:rPr>
        <w:t>by</w:t>
      </w:r>
      <w:r w:rsidR="003842D4" w:rsidRPr="00876B22">
        <w:rPr>
          <w:rFonts w:ascii="Garamond" w:hAnsi="Garamond"/>
        </w:rPr>
        <w:t xml:space="preserve"> undermin</w:t>
      </w:r>
      <w:r w:rsidR="003842D4">
        <w:rPr>
          <w:rFonts w:ascii="Garamond" w:hAnsi="Garamond"/>
        </w:rPr>
        <w:t>ing</w:t>
      </w:r>
      <w:r w:rsidR="003842D4" w:rsidRPr="00876B22">
        <w:rPr>
          <w:rFonts w:ascii="Garamond" w:hAnsi="Garamond"/>
        </w:rPr>
        <w:t xml:space="preserve"> local regulatory capacity</w:t>
      </w:r>
      <w:r w:rsidR="003842D4">
        <w:rPr>
          <w:rFonts w:ascii="Garamond" w:hAnsi="Garamond"/>
        </w:rPr>
        <w:t xml:space="preserve">, </w:t>
      </w:r>
      <w:r w:rsidR="003842D4" w:rsidRPr="00876B22">
        <w:rPr>
          <w:rFonts w:ascii="Garamond" w:hAnsi="Garamond"/>
        </w:rPr>
        <w:t>weakening informal social control, and fostering residential instability</w:t>
      </w:r>
      <w:r w:rsidR="004B7445">
        <w:rPr>
          <w:rFonts w:ascii="Garamond" w:hAnsi="Garamond" w:hint="eastAsia"/>
          <w:lang w:eastAsia="ko-KR"/>
        </w:rPr>
        <w:t xml:space="preserve"> </w:t>
      </w:r>
      <w:r w:rsidR="004B7445">
        <w:rPr>
          <w:rFonts w:ascii="Garamond" w:hAnsi="Garamond"/>
          <w:lang w:eastAsia="ko-KR"/>
        </w:rPr>
        <w:fldChar w:fldCharType="begin"/>
      </w:r>
      <w:r w:rsidR="005548B3">
        <w:rPr>
          <w:rFonts w:ascii="Garamond" w:hAnsi="Garamond"/>
          <w:lang w:eastAsia="ko-KR"/>
        </w:rPr>
        <w:instrText xml:space="preserve"> ADDIN ZOTERO_ITEM CSL_CITATION {"citationID":"l3IHF3AD","properties":{"unsorted":false,"formattedCitation":"[16,18,29,30]","plainCitation":"[16,18,29,30]","noteIndex":0},"citationItems":[{"id":27473,"uris":["http://zotero.org/users/7595310/items/EHR7N2IQ"],"itemData":{"id":27473,"type":"book","citation-key":"shaw_1942_a","language":"en","note":"Google-Books-ID: GKRkMQEACAAJ","number-of-pages":"451","publisher":"University of Chicago Press","source":"Google Books","title":"Juvenile delinquency and urban areas: a study of rates of delinquents in relation to differential characteristics of local communities in american cities","title-short":"Juvenile delinquency and urban areas","author":[{"family":"Shaw","given":"Clifford Robe"},{"family":"McKay","given":"Henry Donald"}],"issued":{"date-parts":[["1942"]]}}},{"id":27463,"uris":["http://zotero.org/users/7595310/items/KGPFUK5F"],"itemData":{"id":27463,"type":"book","abstract":"For over fifty years numerous public intellectuals and social theorists have insisted that community is dead. Some would have us believe that we act solely as individuals choosing our own fates regardless of our surroundings, while other theories place us at the mercy of global forces beyond our control. These two perspectives dominate contemporary views of society, but by rejecting the importance of place they are both deeply flawed. Based on one of the most ambitious studies in the history of social science, Great American City argues that communities still matter because life is decisively shaped by where you live. To demonstrate the powerfully enduring impact of place, Robert J. Sampson presents here the fruits of over a decade’s research in Chicago combined with his own unique personal observations about life in the city, from Cabrini Green to Trump Tower and Millennium Park to the Robert Taylor Homes. He discovers that neighborhoods influence a remarkably wide variety of social phenomena, including crime, health, civic engagement, home foreclosures, teen births, altruism, leadership networks, and immigration. Even national crises cannot halt the impact of place, Sampson finds, as he analyzes the consequences of the Great Recession and its aftermath, bringing his magisterial study up to the fall of 2010. Following in the influential tradition of the Chicago School of urban studies but updated for the twenty-first century, Great American City is at once a landmark research project, a commanding argument for a new theory of social life, and the story of an iconic city.","citation-key":"sampson_2013_","ISBN":"978-0-226-05568-8","language":"en","number-of-pages":"552","publisher":"University of Chicago Press","publisher-place":"Chicago, IL","source":"University of Chicago Press","title":"Great american city: Chicago and the enduring neighborhood effect","title-short":"Great american city","URL":"https://press.uchicago.edu/ucp/books/book/chicago/G/bo5514383.html","author":[{"family":"Sampson","given":"Robert J."}],"editor":[{"family":"Wilson","given":"William Julius"}],"accessed":{"date-parts":[["2026",6,2]]},"issued":{"date-parts":[["2013",6]]}}},{"id":27471,"uris":["http://zotero.org/users/7595310/items/RRX7VF95"],"itemData":{"id":27471,"type":"book","citation-key":"sharkey_2019_","edition":"Paperback edition","ISBN":"978-0-393-35654-0","language":"eng","number-of-pages":"244","publisher":"W.W. Norton &amp; Company","publisher-place":"New York","source":"K10plus ISBN","title":"Uneasy peace: the great crime decline, the renewal of city life, and the next war on violence","title-short":"Uneasy peace","author":[{"family":"Sharkey","given":"Patrick"}],"issued":{"date-parts":[["2019"]]}}},{"id":27494,"uris":["http://zotero.org/users/7595310/items/XB36D6Q9"],"itemData":{"id":27494,"type":"article-journal","abstract":"This article reviews theory and evidence on the role community-oriented organizations play in reducing violence while fostering neighborhood resilience. We conceptualize community-oriented organizations as those that have a local focus on people, institutions, or places within a particular area; work to support residents and confront local challenges or problems; and are operated by institutions other than the state, with the most common organizational form being the nonprofit. After reviewing several theoretical traditions that illuminate the various mechanisms by which community-oriented organizations may be linked with crime and violence, we review the available evidence on the effectiveness of community-oriented approaches to confronting violence from both quantitative and qualitative sources. We conclude with a discussion of the implications of the turn toward the community for research in criminology and for social policy.","citation-key":"sharkey_2026_annu.rev.criminol.","container-title":"Annual Review of Criminology","DOI":"10.1146/annurev-criminol-111523-122521","ISSN":"2572-4568","issue":"Volume 9, 2026","language":"en","page":"81-100","publisher":"Annual Reviews","source":"www-annualreviews-org.libproxy.albany.edu","title":"Turning toward the community: Theory and evidence for the role of community-oriented organizations in the effort to confront violence","title-short":"Turning toward the community","volume":"9","author":[{"family":"Sharkey","given":"Patrick"},{"family":"Ittner","given":"Timothy"}],"issued":{"date-parts":[["2026",1,29]]}}}],"schema":"https://github.com/citation-style-language/schema/raw/master/csl-citation.json"} </w:instrText>
      </w:r>
      <w:r w:rsidR="004B7445">
        <w:rPr>
          <w:rFonts w:ascii="Garamond" w:hAnsi="Garamond"/>
          <w:lang w:eastAsia="ko-KR"/>
        </w:rPr>
        <w:fldChar w:fldCharType="separate"/>
      </w:r>
      <w:r w:rsidR="005548B3" w:rsidRPr="005548B3">
        <w:rPr>
          <w:rFonts w:ascii="Garamond" w:hAnsi="Garamond"/>
          <w:lang w:eastAsia="ko-KR"/>
        </w:rPr>
        <w:t>[16,18,29,30]</w:t>
      </w:r>
      <w:r w:rsidR="004B7445">
        <w:rPr>
          <w:rFonts w:ascii="Garamond" w:hAnsi="Garamond"/>
          <w:lang w:eastAsia="ko-KR"/>
        </w:rPr>
        <w:fldChar w:fldCharType="end"/>
      </w:r>
      <w:r w:rsidR="003842D4" w:rsidRPr="00876B22">
        <w:rPr>
          <w:rFonts w:ascii="Garamond" w:hAnsi="Garamond"/>
        </w:rPr>
        <w:t xml:space="preserve">. </w:t>
      </w:r>
      <w:r w:rsidR="006F26AF" w:rsidRPr="006F26AF">
        <w:rPr>
          <w:rFonts w:ascii="Garamond" w:hAnsi="Garamond"/>
        </w:rPr>
        <w:t xml:space="preserve">These arguments are </w:t>
      </w:r>
      <w:r w:rsidR="006F26AF">
        <w:rPr>
          <w:rFonts w:ascii="Garamond" w:hAnsi="Garamond"/>
        </w:rPr>
        <w:t xml:space="preserve">deeply </w:t>
      </w:r>
      <w:r w:rsidR="006F26AF" w:rsidRPr="006F26AF">
        <w:rPr>
          <w:rFonts w:ascii="Garamond" w:hAnsi="Garamond"/>
        </w:rPr>
        <w:t xml:space="preserve">rooted in </w:t>
      </w:r>
      <w:r w:rsidR="00F341E9">
        <w:rPr>
          <w:rFonts w:ascii="Garamond" w:hAnsi="Garamond"/>
        </w:rPr>
        <w:t xml:space="preserve">theories of </w:t>
      </w:r>
      <w:r w:rsidR="006F26AF" w:rsidRPr="006F26AF">
        <w:rPr>
          <w:rFonts w:ascii="Garamond" w:hAnsi="Garamond"/>
        </w:rPr>
        <w:t xml:space="preserve">social disorganization and collective efficacy, which emphasize how </w:t>
      </w:r>
      <w:r w:rsidR="003842D4" w:rsidRPr="00876B22">
        <w:rPr>
          <w:rFonts w:ascii="Garamond" w:hAnsi="Garamond"/>
        </w:rPr>
        <w:t xml:space="preserve">structural </w:t>
      </w:r>
      <w:r w:rsidR="003B2D9E">
        <w:rPr>
          <w:rFonts w:ascii="Garamond" w:hAnsi="Garamond"/>
        </w:rPr>
        <w:t>conditions</w:t>
      </w:r>
      <w:r w:rsidR="003842D4" w:rsidRPr="00876B22">
        <w:rPr>
          <w:rFonts w:ascii="Garamond" w:hAnsi="Garamond"/>
        </w:rPr>
        <w:t xml:space="preserve"> </w:t>
      </w:r>
      <w:r w:rsidR="003B2D9E">
        <w:rPr>
          <w:rFonts w:ascii="Garamond" w:hAnsi="Garamond"/>
        </w:rPr>
        <w:t xml:space="preserve">can </w:t>
      </w:r>
      <w:r w:rsidR="003842D4" w:rsidRPr="00876B22">
        <w:rPr>
          <w:rFonts w:ascii="Garamond" w:hAnsi="Garamond"/>
        </w:rPr>
        <w:t>erode the networks, institutions, and routine social interactions that facilitate guardianship</w:t>
      </w:r>
      <w:r w:rsidR="006F26AF">
        <w:rPr>
          <w:rFonts w:ascii="Garamond" w:hAnsi="Garamond"/>
        </w:rPr>
        <w:t xml:space="preserve">, community </w:t>
      </w:r>
      <w:r w:rsidR="00314D5E">
        <w:rPr>
          <w:rFonts w:ascii="Garamond" w:hAnsi="Garamond"/>
        </w:rPr>
        <w:t xml:space="preserve">organization, </w:t>
      </w:r>
      <w:r w:rsidR="00314D5E" w:rsidRPr="00876B22">
        <w:rPr>
          <w:rFonts w:ascii="Garamond" w:hAnsi="Garamond"/>
        </w:rPr>
        <w:t>and</w:t>
      </w:r>
      <w:r w:rsidR="006F26AF" w:rsidRPr="006F26AF">
        <w:rPr>
          <w:rFonts w:ascii="Garamond" w:hAnsi="Garamond"/>
        </w:rPr>
        <w:t xml:space="preserve"> shared expectations for social control</w:t>
      </w:r>
      <w:r w:rsidR="003B2D9E">
        <w:rPr>
          <w:rFonts w:ascii="Garamond" w:hAnsi="Garamond"/>
        </w:rPr>
        <w:t>. These</w:t>
      </w:r>
      <w:r w:rsidR="00314D5E">
        <w:rPr>
          <w:rFonts w:ascii="Garamond" w:hAnsi="Garamond"/>
        </w:rPr>
        <w:t xml:space="preserve"> </w:t>
      </w:r>
      <w:r w:rsidR="003B2D9E">
        <w:rPr>
          <w:rFonts w:ascii="Garamond" w:hAnsi="Garamond"/>
        </w:rPr>
        <w:t>processes, in turn, create</w:t>
      </w:r>
      <w:r w:rsidR="003842D4" w:rsidRPr="00876B22">
        <w:rPr>
          <w:rFonts w:ascii="Garamond" w:hAnsi="Garamond"/>
        </w:rPr>
        <w:t xml:space="preserve"> conditions in which </w:t>
      </w:r>
      <w:r w:rsidR="00780B18">
        <w:rPr>
          <w:rFonts w:ascii="Garamond" w:hAnsi="Garamond"/>
        </w:rPr>
        <w:t xml:space="preserve">crime and </w:t>
      </w:r>
      <w:r w:rsidR="003842D4" w:rsidRPr="00876B22">
        <w:rPr>
          <w:rFonts w:ascii="Garamond" w:hAnsi="Garamond"/>
        </w:rPr>
        <w:t xml:space="preserve">violence </w:t>
      </w:r>
      <w:r w:rsidR="003B2D9E">
        <w:rPr>
          <w:rFonts w:ascii="Garamond" w:hAnsi="Garamond"/>
        </w:rPr>
        <w:t>are</w:t>
      </w:r>
      <w:r w:rsidR="003842D4" w:rsidRPr="00876B22">
        <w:rPr>
          <w:rFonts w:ascii="Garamond" w:hAnsi="Garamond"/>
        </w:rPr>
        <w:t xml:space="preserve"> more likely to emerge</w:t>
      </w:r>
      <w:r w:rsidR="00160AB7">
        <w:rPr>
          <w:rFonts w:ascii="Garamond" w:hAnsi="Garamond" w:hint="eastAsia"/>
          <w:lang w:eastAsia="ko-KR"/>
        </w:rPr>
        <w:t xml:space="preserve"> </w:t>
      </w:r>
      <w:r w:rsidR="00160AB7">
        <w:rPr>
          <w:rFonts w:ascii="Garamond" w:hAnsi="Garamond"/>
          <w:lang w:eastAsia="ko-KR"/>
        </w:rPr>
        <w:fldChar w:fldCharType="begin"/>
      </w:r>
      <w:r w:rsidR="005548B3">
        <w:rPr>
          <w:rFonts w:ascii="Garamond" w:hAnsi="Garamond"/>
          <w:lang w:eastAsia="ko-KR"/>
        </w:rPr>
        <w:instrText xml:space="preserve"> ADDIN ZOTERO_ITEM CSL_CITATION {"citationID":"ZyDgqlwh","properties":{"unsorted":false,"formattedCitation":"[31]","plainCitation":"[31]","noteIndex":0},"citationItems":[{"id":27464,"uris":["http://zotero.org/users/7595310/items/PW4E6K8M"],"itemData":{"id":27464,"type":"article-journal","abstract":"It is hypothesized that collective efficacy, defined as social cohesion among neighbors combined with their willingness to intervene on behalf of the common good, is linked to reduced violence. This hypothesis was tested on a 1995 survey of 8782 residents of 343 neighborhoods in Chicago, Illinois. Multilevel analyses showed that a measure of collective efficacy yields a high between-neighborhood reliability and is negatively associated with variations in violence, when individual-level characteristics, measurement error, and prior violence are controlled. Associations of concentrated disadvantage and residential instability with violence are largely mediated by collective efficacy.","citation-key":"sampson_1997_sciencec","container-title":"Science","DOI":"10.1126/science.277.5328.918","ISSN":"0036-8075, 1095-9203","issue":"5328","journalAbbreviation":"Science","language":"en","page":"918-924","source":"DOI.org (Crossref)","title":"Neighborhoods and violent crime: a multilevel study of collective efficacy","title-short":"Neighborhoods and violent crime","volume":"277","author":[{"family":"Sampson","given":"Robert J."},{"family":"Raudenbush","given":"Stephen W."},{"family":"Earls","given":"Felton"}],"issued":{"date-parts":[["1997",8,15]]}}}],"schema":"https://github.com/citation-style-language/schema/raw/master/csl-citation.json"} </w:instrText>
      </w:r>
      <w:r w:rsidR="00160AB7">
        <w:rPr>
          <w:rFonts w:ascii="Garamond" w:hAnsi="Garamond"/>
          <w:lang w:eastAsia="ko-KR"/>
        </w:rPr>
        <w:fldChar w:fldCharType="separate"/>
      </w:r>
      <w:r w:rsidR="005548B3" w:rsidRPr="005548B3">
        <w:rPr>
          <w:rFonts w:ascii="Garamond" w:hAnsi="Garamond"/>
          <w:lang w:eastAsia="ko-KR"/>
        </w:rPr>
        <w:t>[31]</w:t>
      </w:r>
      <w:r w:rsidR="00160AB7">
        <w:rPr>
          <w:rFonts w:ascii="Garamond" w:hAnsi="Garamond"/>
          <w:lang w:eastAsia="ko-KR"/>
        </w:rPr>
        <w:fldChar w:fldCharType="end"/>
      </w:r>
      <w:r w:rsidR="006F26AF">
        <w:rPr>
          <w:rFonts w:ascii="Garamond" w:hAnsi="Garamond"/>
        </w:rPr>
        <w:t>.</w:t>
      </w:r>
      <w:r w:rsidR="00DC6520" w:rsidRPr="00DC6520">
        <w:t xml:space="preserve"> </w:t>
      </w:r>
      <w:r w:rsidR="00DC6520" w:rsidRPr="000F0E2C">
        <w:rPr>
          <w:rFonts w:ascii="Garamond" w:hAnsi="Garamond"/>
        </w:rPr>
        <w:t>Related structural arguments also appear throughout macro-level research on homicide and violence more generally, including city-, county-, and cross-national studies</w:t>
      </w:r>
      <w:r w:rsidR="00B535B0" w:rsidRPr="000F0E2C">
        <w:rPr>
          <w:rFonts w:ascii="Garamond" w:hAnsi="Garamond"/>
        </w:rPr>
        <w:t xml:space="preserve">. This work frequently points to economic inequality, concentrated poverty, marginalization, and social exclusion to explain spatial and temporal variation in violence </w:t>
      </w:r>
      <w:r w:rsidR="00160AB7">
        <w:rPr>
          <w:rFonts w:ascii="Garamond" w:hAnsi="Garamond"/>
        </w:rPr>
        <w:fldChar w:fldCharType="begin"/>
      </w:r>
      <w:r w:rsidR="005548B3">
        <w:rPr>
          <w:rFonts w:ascii="Garamond" w:hAnsi="Garamond"/>
        </w:rPr>
        <w:instrText xml:space="preserve"> ADDIN ZOTERO_ITEM CSL_CITATION {"citationID":"xBrQbqwW","properties":{"unsorted":false,"formattedCitation":"[32\\uc0\\u8211{}35]","plainCitation":"[32–35]","noteIndex":0},"citationItems":[{"id":27406,"uris":["http://zotero.org/users/7595310/items/H29HG2AB"],"itemData":{"id":27406,"type":"article-journal","abstract":"Both relative and absolute deprivation have effects on crime. These two concepts may be complementary, but much scholarship has treated them as separate. The present study assesses whether the effects of relative and absolute deprivation, measured as income inequality and disadvantage, respectively, interact in their effect on known homicide counts in U.S. counties. A multilevel regression model shows that there is a significant interaction between income inequality and disadvantage predicting homicide counts known to police. The plot of this interaction shows that when disadvantage is extremely high, increasing income inequality does not increase known homicides. The less disadvantage there is, the greater the effect of increasing income inequality on homicide counts in U.S. counties. This finding suggests that the effect of relative deprivation on known homicide is contingent on levels of absolute deprivation and vice versa. The implication of this finding is discussed.","citation-key":"burraston_2019_homicidestudiesa","container-title":"Homicide Studies","DOI":"10.1177/1088767918782938","ISSN":"1088-7679, 1552-6720","issue":"1","journalAbbreviation":"Homicide Studies","language":"en","page":"3-19","source":"DOI.org (Crossref)","title":"Relative deprivation, absolute deprivation, and homicide: Testing an interaction between income inequality and disadvantage","title-short":"Relative deprivation, absolute deprivation, and homicide","volume":"23","author":[{"family":"Burraston","given":"Bert"},{"family":"Watts","given":"Stephen J."},{"family":"McCutcheon","given":"James C."},{"family":"Province","given":"Karli"}],"issued":{"date-parts":[["2019",2]]}}},{"id":27436,"uris":["http://zotero.org/users/7595310/items/WIDGCHQ5"],"itemData":{"id":27436,"type":"article-journal","citation-key":"lafree_2005_thesociologicalquarterly","container-title":"The Sociological Quarterly","DOI":"10.1111/j.1533-8525.2005.00009.x","ISSN":"0038-0253, 1533-8525","issue":"1","journalAbbreviation":"The Sociological Quarterly","language":"en","license":"http://doi.wiley.com/10.1002/tdm_license_1.1","page":"191-211","source":"DOI.org (Crossref)","title":"Evidence for elite convergence in cross-national homicide victimization trends, 1956 to 2000","volume":"46","author":[{"family":"LaFree","given":"Gary"}],"issued":{"date-parts":[["2005",2,1]]}}},{"id":27439,"uris":["http://zotero.org/users/7595310/items/BIUWN373"],"itemData":{"id":27439,"type":"article-journal","citation-key":"messner_1997_socialforces","container-title":"Social Forces","DOI":"10.1093/sf/75.4.1393","ISSN":"0037-7732, 1534-7605","issue":"4","journalAbbreviation":"Social Forces","language":"en","page":"1393-1416","source":"DOI.org (Crossref)","title":"Political restraint of the market and levels of criminal homicide: a cross-national application of institutional-anomie theory","title-short":"Political restraint of the market and levels of criminal homicide","volume":"75","author":[{"family":"Messner","given":"S. F."},{"family":"Rosenfeld","given":"R."}],"issued":{"date-parts":[["1997",6,1]]}}},{"id":27501,"uris":["http://zotero.org/users/7595310/items/TMXQSTYL"],"itemData":{"id":27501,"type":"article-journal","abstract":"Building on research by Rosenfeld et al., citylevel random coefficients panel models reveal a significant association between inflation and homicide rates that is only partially mediated by acquisitive crime. Inflation is more strongly associated with homicide rates in more disadvantaged cities. The impact of inflation on public safety should be considered when setting and evaluating economic policy. Future research should address the mechanisms, in addition to acquisitive crime, that link homicide and inflation.","citation-key":"rosenfeld_2023_crime&amp;delinquency","container-title":"Crime &amp; Delinquency","DOI":"10.1177/00111287211039994","ISSN":"0011-1287, 1552-387X","issue":"1","journalAbbreviation":"Crime &amp; Delinquency","language":"en","page":"3-33","source":"DOI.org (Crossref)","title":"Homicide, acquisitive crime, and inflation: a city-level longitudinal analysis","title-short":"Homicide, acquisitive crime, and inflation","volume":"69","author":[{"family":"Rosenfeld","given":"Richard"},{"family":"Vogel","given":"Matt"}],"issued":{"date-parts":[["2023",1]]}}}],"schema":"https://github.com/citation-style-language/schema/raw/master/csl-citation.json"} </w:instrText>
      </w:r>
      <w:r w:rsidR="00160AB7">
        <w:rPr>
          <w:rFonts w:ascii="Garamond" w:hAnsi="Garamond"/>
        </w:rPr>
        <w:fldChar w:fldCharType="separate"/>
      </w:r>
      <w:r w:rsidR="005548B3" w:rsidRPr="005548B3">
        <w:rPr>
          <w:rFonts w:ascii="Garamond" w:hAnsi="Garamond" w:cs="Times New Roman"/>
          <w:kern w:val="0"/>
        </w:rPr>
        <w:t>[32–35]</w:t>
      </w:r>
      <w:r w:rsidR="00160AB7">
        <w:rPr>
          <w:rFonts w:ascii="Garamond" w:hAnsi="Garamond"/>
        </w:rPr>
        <w:fldChar w:fldCharType="end"/>
      </w:r>
      <w:r w:rsidR="00F341E9" w:rsidRPr="000F0E2C">
        <w:rPr>
          <w:rFonts w:ascii="Garamond" w:hAnsi="Garamond"/>
        </w:rPr>
        <w:t xml:space="preserve">. </w:t>
      </w:r>
      <w:r w:rsidR="00491483" w:rsidRPr="000F0E2C">
        <w:rPr>
          <w:rFonts w:ascii="Garamond" w:hAnsi="Garamond"/>
        </w:rPr>
        <w:t xml:space="preserve">And indeed, the association between concentrated disadvantage and rates of neighborhood </w:t>
      </w:r>
      <w:r w:rsidR="009E4219" w:rsidRPr="000F0E2C">
        <w:rPr>
          <w:rFonts w:ascii="Garamond" w:hAnsi="Garamond"/>
        </w:rPr>
        <w:t>crime, violence</w:t>
      </w:r>
      <w:r w:rsidR="00491483" w:rsidRPr="000F0E2C">
        <w:rPr>
          <w:rFonts w:ascii="Garamond" w:hAnsi="Garamond"/>
        </w:rPr>
        <w:t>, and firearm homicide is so consistently documented that it is widely recognized as a stylized fact in the field of criminology</w:t>
      </w:r>
      <w:r w:rsidR="00922407">
        <w:rPr>
          <w:rFonts w:ascii="Garamond" w:hAnsi="Garamond" w:hint="eastAsia"/>
          <w:lang w:eastAsia="ko-KR"/>
        </w:rPr>
        <w:t xml:space="preserve"> </w:t>
      </w:r>
      <w:r w:rsidR="00922407">
        <w:rPr>
          <w:rFonts w:ascii="Garamond" w:hAnsi="Garamond"/>
          <w:lang w:eastAsia="ko-KR"/>
        </w:rPr>
        <w:fldChar w:fldCharType="begin"/>
      </w:r>
      <w:r w:rsidR="005548B3">
        <w:rPr>
          <w:rFonts w:ascii="Garamond" w:hAnsi="Garamond"/>
          <w:lang w:eastAsia="ko-KR"/>
        </w:rPr>
        <w:instrText xml:space="preserve"> ADDIN ZOTERO_ITEM CSL_CITATION {"citationID":"ZKhd4lGS","properties":{"unsorted":false,"formattedCitation":"[36\\uc0\\u8211{}41]","plainCitation":"[36–41]","noteIndex":0},"citationItems":[{"id":27405,"uris":["http://zotero.org/users/7595310/items/CVHG898M"],"itemData":{"id":27405,"type":"article-journal","abstract":"Although numerous studies have examined the influence of neighborhood socioeconomic disadvantage on the quantity of violence, little attention has been devoted to whether such conditions also shape the quality of violence. Drawing on Anderson's (1999) influential ethnography, we derive several hypotheses about how the nature of violence differs across neighborhoods with varying socioeconomic conditions. Using data on assaults and robberies from the area</w:instrText>
      </w:r>
      <w:r w:rsidR="005548B3">
        <w:rPr>
          <w:rFonts w:ascii="Cambria Math" w:hAnsi="Cambria Math" w:cs="Cambria Math"/>
          <w:lang w:eastAsia="ko-KR"/>
        </w:rPr>
        <w:instrText>‐</w:instrText>
      </w:r>
      <w:r w:rsidR="005548B3">
        <w:rPr>
          <w:rFonts w:ascii="Garamond" w:hAnsi="Garamond"/>
          <w:lang w:eastAsia="ko-KR"/>
        </w:rPr>
        <w:instrText xml:space="preserve">identified National Crime Victimization Survey (NCVS), our analyses reveal support for Anderson's description of the nature of violence in different neighborhood contexts, but only mixed support for his argument that those differences are due to neighborhood effects.","citation-key":"baumer_2003_criminology","container-title":"Criminology","DOI":"10.1111/j.1745-9125.2003.tb00981.x","ISSN":"0011-1384, 1745-9125","issue":"1","journalAbbreviation":"Criminology","language":"en","page":"39-72","source":"DOI.org (Crossref)","title":"Neighborhood disadvantage and the nature of violence","volume":"41","author":[{"family":"Baumer","given":"Eric"},{"family":"Horney","given":"Julie"},{"family":"Felson","given":"Richard"},{"family":"Lauritsen","given":"Janet L."}],"issued":{"date-parts":[["2003",2]]}}},{"id":27417,"uris":["http://zotero.org/users/7595310/items/SHK8S3RU"],"itemData":{"id":27417,"type":"article-journal","abstract":"Prior research frequently observes a positive cross-sectional relationship between various neighborhood structural characteristics and crime rates, and attributes the causal explanation entirely to these structural characteristics. We question this assumption theoretically, proposing a household-level model showing that neighborhood crime might also change these structural characteristics. We test these hypotheses using data on census tracts in 13 cities over a ten-year period, and our cross-lagged models generally find that, if anything, crime is the stronger causal force in these possible relationships. Neighborhoods with more crime tend to experience increasing levels of residential instability, more concentrated disadvantage, a diminishing retail environment, and more African Americans ten years later. Although we find that neighborhoods with more concentrated disadvantage experience increases in violent and property crime, there is no evidence that residential instability or the presence of African Americans increases crime rates ten years later.","citation-key":"hipp_2010_socprobl","container-title":"Social Problems","DOI":"10.1525/sp.2010.57.2.205","ISSN":"0037-7791","issue":"2","journalAbbreviation":"Soc Probl","page":"205-230","source":"Silverchair","title":"A dynamic view of neighborhoods: The reciprocal relationship between crime and neighborhood structural characteristics","title-short":"A dynamic view of neighborhoods","volume":"57","author":[{"family":"Hipp","given":"John R."}],"issued":{"date-parts":[["2010",5,1]]}}},{"id":27422,"uris":["http://zotero.org/users/7595310/items/P6744ESU"],"itemData":{"id":27422,"type":"article-journal","abstract":"Understanding the burden of gun violence among youth is a public health imperative. While most estimates are based on direct and witnessed victimization, living nearby gun violence incidents may be consequential too. Yet detailed information about these broader experiences of violence is lacking. We use data on a population-based cohort of youth merged with incident-level data on deadly gun violence to assess the prevalence and intensity of community exposure to gun homicides across cross-classified categories of exposure distance and recency, overall and by race/ethnicity, household poverty, and neighborhood disadvantage. In total, 2-18% of youth resided within 600 m of a gun homicide occurring in the past 14-365 days. These percentages were 3-25% for incidents within 800 m and 5-37% for those within a 1300-m radius. Black and Latinx youth were 3-7 times more likely, depending on the exposure radius, to experience a past-year gun homicide than white youth and on average experienced incidents more recently and closer to home. Household poverty contributed to exposure inequities, but disproportionate residence in disadvantaged neighborhoods was especially consequential: for all racial/ethnic groups, the difference in the probability of exposure between youth in low vs high poverty households was approximately 5-10 percentage points, while the difference between youth residing in low vs high disadvantage neighborhoods was approximately 50 percentage points. Given well-documented consequences of gun violence exposure on health, these more comprehensive estimates underscore the importance of supportive strategies not only for individual victims but entire communities in the aftermath of gun violence.","citation-key":"kravitz-wirtz_2022_jurbanhealthb","container-title":"Journal of Urban Health: Bulletin of the New York Academy of Medicine","DOI":"10.1007/s11524-022-00656-0","ISSN":"1468-2869","issue":"4","journalAbbreviation":"J Urban Health","language":"eng","page":"610-625","PMID":"35672546","PMCID":"PMC9172977","source":"PubMed","title":"Inequities in community exposure to deadly gun violence by race/ethnicity, poverty, and neighborhood disadvantage among youth in large US cities","volume":"99","author":[{"family":"Kravitz-Wirtz","given":"Nicole"},{"family":"Bruns","given":"Angela"},{"family":"Aubel","given":"Amanda J."},{"family":"Zhang","given":"Xiaoya"},{"family":"Buggs","given":"Shani A."}],"issued":{"date-parts":[["2022",8]]}}},{"id":27437,"uris":["http://zotero.org/users/7595310/items/F2CBIFAD"],"itemData":{"id":27437,"type":"article-journal","abstract":"This article develops and assesses the concept of triple neighborhood disadvantage. We argue that a neighborhood’s well-being depends not only on its own socioeconomic conditions but also on the conditions of neighborhoods its residents visit and are visited by, connections that form through networks of everyday urban mobility. We construct measures of mobility-based disadvantage using geocoded patterns of movement estimated from hundreds of millions of tweets sent by nearly 400,000 Twitter users over 18 months. Analyzing nearly 32,000 neighborhoods and 9,700 homicides in 37 of the largest U.S. cities, we show that neighborhood triple disadvantage independently predicts homicides, adjusting for traditional neighborhood correlates of violence, spatial proximity to disadvantage, prior homicides, and city fixed effects. Not only is triple disadvantage a stronger predictor than traditional measures, it accounts for a sizable portion of the association between residential neighborhood disadvantage and homicides. In turn, potential mechanisms such as neighborhood drug activity, interpersonal friction, and gun crime prevalence account for much of the association between triple disadvantage and homicides. These findings implicate structural mobility patterns as an important source of triple (dis)advantage for neighborhoods and have implications for a broad range of phenomena beyond crime, including community capacity, gentrification, transmission in a pandemic, and racial inequality.","citation-key":"levy_2020_amsociolrevb","container-title":"American Sociological Review","DOI":"10.1177/0003122420972323","ISSN":"0003-1224, 1939-8271","issue":"6","journalAbbreviation":"Am Sociol Rev","language":"en","page":"925-956","source":"DOI.org (Crossref)","title":"Triple disadvantage: Neighborhood networks of everyday urban mobility and violence in U.S. cities","title-short":"Triple disadvantage","volume":"85","author":[{"family":"Levy","given":"Brian L."},{"family":"Phillips","given":"Nolan E."},{"family":"Sampson","given":"Robert J."}],"issued":{"date-parts":[["2020",12]]}}},{"id":27465,"uris":["http://zotero.org/users/7595310/items/NNR7G87R"],"itemData":{"id":27465,"type":"article-journal","abstract":"Gun violence imparts a tremendous human and financial toll on local communities. Researchers have documented extensive mental and physical health consequences of generalized violence exposure but few studies have analyzed the particular impacts of gun violence on community well-being using nationally comprehensive data. We leverage a unique database of almost 16,000 neighborhoods in 100 US cities (2014-2019) to examine how year-over-year rates of gun violence correspond to overall neighborhood well-being and three aspects of community health: (1) health behaviors, (2) physical and mental health status, and (3) health prevention efforts. We simultaneously consider the reciprocal influence of neighborhood well-being on subsequent gun violence while accounting for concentrated disadvantage in communities. The results demonstrate that gun violence is associated with poorer community health in subsequent years, particularly health behaviors and mental/physical health status. Furthermore, we find substantial reciprocal effects for both gun violence and community health in their relationship to neighborhood concentrated disadvantage. These findings highlight the consequential role of gun violence in perpetuating cycles of harm in local communities.","citation-key":"semenza_2023_jurbanhealth","container-title":"Journal of Urban Health: Bulletin of the New York Academy of Medicine","DOI":"10.1007/s11524-023-00796-x","ISSN":"1468-2869","issue":"6","journalAbbreviation":"J Urban Health","language":"eng","page":"1128-1139","PMID":"37843742","PMCID":"PMC10728405","source":"PubMed","title":"Reciprocal neighborhood dynamics in gun violence exposure, community health, and concentrated disadvantage in one hundred US cities","volume":"100","author":[{"family":"Semenza","given":"Daniel C."},{"family":"Stansfield","given":"Richard"},{"family":"Silver","given":"Ian A."},{"family":"Savage","given":"Brielle"}],"issued":{"date-parts":[["2023",12]]}}},{"id":27486,"uris":["http://zotero.org/users/7595310/items/5UHVV6JZ"],"itemData":{"id":27486,"type":"article-journal","abstract":"Research examining the relationship between neighborhood socioeconomic disadvantage and adolescent offending typically examines only the influence of residential neighborhoods. This strategy may be problematic as 1) neighborhoods are rarely spatially independent of each other and 2) adolescents spend an appreciable portion of their time engaged in activities outside of their immediate neighborhood. Therefore, characteristics of neighborhoods outside of, but geographically proximate to, residential neighborhoods may affect adolescents’ propensity to engage in delinquent behavior. We append a spatially lagged, distance-weighted measure of socioeconomic disadvantage in “extralocal” neighborhoods to the individual records of respondents participating in the first two waves of the National Longitudinal Survey of Youth, 1997 Cohort (N = 6,491). Results from negative binomial regression analyses indicate that the level of socioeconomic disadvantage in extralocal neighborhoods is inversely associated with youth offending, as theories of relative deprivation, structured opportunity, and routine activities would predict, and that the magnitude of this effect rivals that of the level of disadvantage in youths’ own residential neighborhoods. Moreover, socioeconomic disadvantage in extralocal neighborhoods suppresses the criminogenic influence of socioeconomic disadvantage in youths’ own neighborhoods, revealing stronger effects of local neighborhood disadvantage than would otherwise be observed.","citation-key":"vogel_2016_criminologyd","container-title":"Criminology","DOI":"10.1111/1745-9125.12110","ISSN":"1745-9125","issue":"3","language":"en","license":"© 2016 The Authors. Criminology published by Wiley Periodicals, Inc. on behalf of American Society of Criminology.","note":"_eprint: https://onlinelibrary.wiley.com/doi/pdf/10.1111/1745-9125.12110","page":"434-458","source":"Wiley Online Library","title":"Spatial dimensions of the effect of neighborhood disadvantage on delinquency","volume":"54","author":[{"family":"Vogel","given":"Matt"},{"family":"South","given":"Scott J."}],"issued":{"date-parts":[["2016"]]}}}],"schema":"https://github.com/citation-style-language/schema/raw/master/csl-citation.json"} </w:instrText>
      </w:r>
      <w:r w:rsidR="00922407">
        <w:rPr>
          <w:rFonts w:ascii="Garamond" w:hAnsi="Garamond"/>
          <w:lang w:eastAsia="ko-KR"/>
        </w:rPr>
        <w:fldChar w:fldCharType="separate"/>
      </w:r>
      <w:r w:rsidR="005548B3" w:rsidRPr="005548B3">
        <w:rPr>
          <w:rFonts w:ascii="Garamond" w:hAnsi="Garamond" w:cs="Times New Roman"/>
          <w:kern w:val="0"/>
        </w:rPr>
        <w:t>[36–41]</w:t>
      </w:r>
      <w:r w:rsidR="00922407">
        <w:rPr>
          <w:rFonts w:ascii="Garamond" w:hAnsi="Garamond"/>
          <w:lang w:eastAsia="ko-KR"/>
        </w:rPr>
        <w:fldChar w:fldCharType="end"/>
      </w:r>
      <w:r w:rsidR="00491483" w:rsidRPr="000F0E2C">
        <w:rPr>
          <w:rFonts w:ascii="Garamond" w:hAnsi="Garamond"/>
        </w:rPr>
        <w:t>.</w:t>
      </w:r>
      <w:r w:rsidR="00491483" w:rsidRPr="00491483">
        <w:rPr>
          <w:rFonts w:ascii="Garamond" w:hAnsi="Garamond"/>
        </w:rPr>
        <w:t xml:space="preserve">  </w:t>
      </w:r>
    </w:p>
    <w:p w14:paraId="2909EF60" w14:textId="1DB66E24" w:rsidR="00E8545F" w:rsidRDefault="005B12C9" w:rsidP="003B03A5">
      <w:pPr>
        <w:spacing w:after="0" w:line="480" w:lineRule="auto"/>
        <w:ind w:firstLine="720"/>
        <w:jc w:val="both"/>
        <w:rPr>
          <w:rFonts w:ascii="Garamond" w:hAnsi="Garamond"/>
        </w:rPr>
      </w:pPr>
      <w:r>
        <w:rPr>
          <w:rFonts w:ascii="Garamond" w:hAnsi="Garamond"/>
        </w:rPr>
        <w:t xml:space="preserve">Drawing from </w:t>
      </w:r>
      <w:r w:rsidR="005516B5">
        <w:rPr>
          <w:rFonts w:ascii="Garamond" w:hAnsi="Garamond"/>
        </w:rPr>
        <w:t>these strains</w:t>
      </w:r>
      <w:r>
        <w:rPr>
          <w:rFonts w:ascii="Garamond" w:hAnsi="Garamond"/>
        </w:rPr>
        <w:t xml:space="preserve"> of research, w</w:t>
      </w:r>
      <w:r w:rsidR="00D0595C">
        <w:rPr>
          <w:rFonts w:ascii="Garamond" w:hAnsi="Garamond"/>
        </w:rPr>
        <w:t xml:space="preserve">e argue that </w:t>
      </w:r>
      <w:r>
        <w:rPr>
          <w:rFonts w:ascii="Garamond" w:hAnsi="Garamond"/>
        </w:rPr>
        <w:t>the conceptual</w:t>
      </w:r>
      <w:r w:rsidR="004838B1" w:rsidRPr="004838B1">
        <w:rPr>
          <w:rFonts w:ascii="Garamond" w:hAnsi="Garamond"/>
        </w:rPr>
        <w:t xml:space="preserve"> slippage</w:t>
      </w:r>
      <w:r>
        <w:rPr>
          <w:rFonts w:ascii="Garamond" w:hAnsi="Garamond"/>
        </w:rPr>
        <w:t xml:space="preserve"> inherent in the construction and continued use of the SVI</w:t>
      </w:r>
      <w:r w:rsidR="004838B1" w:rsidRPr="004838B1">
        <w:rPr>
          <w:rFonts w:ascii="Garamond" w:hAnsi="Garamond"/>
        </w:rPr>
        <w:t xml:space="preserve"> </w:t>
      </w:r>
      <w:r w:rsidR="00A66B5D">
        <w:rPr>
          <w:rFonts w:ascii="Garamond" w:hAnsi="Garamond"/>
        </w:rPr>
        <w:t>may be</w:t>
      </w:r>
      <w:r w:rsidR="004838B1" w:rsidRPr="004838B1">
        <w:rPr>
          <w:rFonts w:ascii="Garamond" w:hAnsi="Garamond"/>
        </w:rPr>
        <w:t xml:space="preserve"> problematic</w:t>
      </w:r>
      <w:r w:rsidR="00F03D5B">
        <w:rPr>
          <w:rFonts w:ascii="Garamond" w:hAnsi="Garamond"/>
        </w:rPr>
        <w:t xml:space="preserve"> for a few reasons</w:t>
      </w:r>
      <w:r w:rsidR="004838B1" w:rsidRPr="004838B1">
        <w:rPr>
          <w:rFonts w:ascii="Garamond" w:hAnsi="Garamond"/>
        </w:rPr>
        <w:t xml:space="preserve">. </w:t>
      </w:r>
      <w:r w:rsidR="006678AD">
        <w:rPr>
          <w:rFonts w:ascii="Garamond" w:hAnsi="Garamond"/>
        </w:rPr>
        <w:t>For one, t</w:t>
      </w:r>
      <w:r w:rsidR="004838B1" w:rsidRPr="004838B1">
        <w:rPr>
          <w:rFonts w:ascii="Garamond" w:hAnsi="Garamond"/>
        </w:rPr>
        <w:t xml:space="preserve">he SVI was </w:t>
      </w:r>
      <w:r w:rsidR="007717FE">
        <w:rPr>
          <w:rFonts w:ascii="Garamond" w:hAnsi="Garamond"/>
        </w:rPr>
        <w:t>not</w:t>
      </w:r>
      <w:r w:rsidR="004838B1" w:rsidRPr="004838B1">
        <w:rPr>
          <w:rFonts w:ascii="Garamond" w:hAnsi="Garamond"/>
        </w:rPr>
        <w:t xml:space="preserve"> designed to measure </w:t>
      </w:r>
      <w:r w:rsidR="004838B1" w:rsidRPr="004838B1">
        <w:rPr>
          <w:rFonts w:ascii="Garamond" w:hAnsi="Garamond"/>
          <w:i/>
          <w:iCs/>
        </w:rPr>
        <w:t>propensity for violence</w:t>
      </w:r>
      <w:r w:rsidR="004838B1" w:rsidRPr="004838B1">
        <w:rPr>
          <w:rFonts w:ascii="Garamond" w:hAnsi="Garamond"/>
        </w:rPr>
        <w:t xml:space="preserve">, but rather a community’s </w:t>
      </w:r>
      <w:r w:rsidR="004838B1" w:rsidRPr="004838B1">
        <w:rPr>
          <w:rFonts w:ascii="Garamond" w:hAnsi="Garamond"/>
          <w:i/>
          <w:iCs/>
        </w:rPr>
        <w:t>capacity to respond to external shocks</w:t>
      </w:r>
      <w:r w:rsidR="004838B1" w:rsidRPr="004838B1">
        <w:rPr>
          <w:rFonts w:ascii="Garamond" w:hAnsi="Garamond"/>
        </w:rPr>
        <w:t xml:space="preserve">. </w:t>
      </w:r>
      <w:r w:rsidR="00866B14" w:rsidRPr="00866B14">
        <w:rPr>
          <w:rFonts w:ascii="Garamond" w:hAnsi="Garamond"/>
        </w:rPr>
        <w:t xml:space="preserve">Equating social vulnerability with a community’s risk for violence risks blurring the distinction </w:t>
      </w:r>
      <w:r w:rsidR="00866B14" w:rsidRPr="00866B14">
        <w:rPr>
          <w:rFonts w:ascii="Garamond" w:hAnsi="Garamond"/>
        </w:rPr>
        <w:lastRenderedPageBreak/>
        <w:t xml:space="preserve">between how communities respond to </w:t>
      </w:r>
      <w:r w:rsidR="00866B14">
        <w:rPr>
          <w:rFonts w:ascii="Garamond" w:hAnsi="Garamond"/>
        </w:rPr>
        <w:t>external events</w:t>
      </w:r>
      <w:r w:rsidR="00866B14" w:rsidRPr="00866B14">
        <w:rPr>
          <w:rFonts w:ascii="Garamond" w:hAnsi="Garamond"/>
        </w:rPr>
        <w:t xml:space="preserve"> and </w:t>
      </w:r>
      <w:r w:rsidR="00866B14">
        <w:rPr>
          <w:rFonts w:ascii="Garamond" w:hAnsi="Garamond"/>
        </w:rPr>
        <w:t>the long-term social processes that give rise to</w:t>
      </w:r>
      <w:r w:rsidR="00866B14" w:rsidRPr="00866B14">
        <w:rPr>
          <w:rFonts w:ascii="Garamond" w:hAnsi="Garamond"/>
        </w:rPr>
        <w:t xml:space="preserve"> violence in the first place</w:t>
      </w:r>
      <w:r w:rsidR="00866B14">
        <w:rPr>
          <w:rFonts w:ascii="Garamond" w:hAnsi="Garamond"/>
        </w:rPr>
        <w:t xml:space="preserve">. </w:t>
      </w:r>
      <w:r w:rsidR="004838B1" w:rsidRPr="00F46CC4">
        <w:rPr>
          <w:rFonts w:ascii="Garamond" w:hAnsi="Garamond"/>
        </w:rPr>
        <w:t xml:space="preserve">A closer look at the SVI’s </w:t>
      </w:r>
      <w:r w:rsidR="002A6D14" w:rsidRPr="00F46CC4">
        <w:rPr>
          <w:rFonts w:ascii="Garamond" w:hAnsi="Garamond"/>
        </w:rPr>
        <w:t xml:space="preserve">measurement </w:t>
      </w:r>
      <w:r w:rsidR="004838B1" w:rsidRPr="00F46CC4">
        <w:rPr>
          <w:rFonts w:ascii="Garamond" w:hAnsi="Garamond"/>
        </w:rPr>
        <w:t xml:space="preserve">structure </w:t>
      </w:r>
      <w:r w:rsidR="004255F3" w:rsidRPr="00F46CC4">
        <w:rPr>
          <w:rFonts w:ascii="Garamond" w:hAnsi="Garamond"/>
        </w:rPr>
        <w:t xml:space="preserve">further </w:t>
      </w:r>
      <w:r w:rsidR="004838B1" w:rsidRPr="00F46CC4">
        <w:rPr>
          <w:rFonts w:ascii="Garamond" w:hAnsi="Garamond"/>
        </w:rPr>
        <w:t>underscores th</w:t>
      </w:r>
      <w:r w:rsidR="006678AD" w:rsidRPr="00F46CC4">
        <w:rPr>
          <w:rFonts w:ascii="Garamond" w:hAnsi="Garamond"/>
        </w:rPr>
        <w:t>is</w:t>
      </w:r>
      <w:r w:rsidR="004838B1" w:rsidRPr="00F46CC4">
        <w:rPr>
          <w:rFonts w:ascii="Garamond" w:hAnsi="Garamond"/>
        </w:rPr>
        <w:t xml:space="preserve"> issue. </w:t>
      </w:r>
      <w:r w:rsidR="008722E4" w:rsidRPr="00F46CC4">
        <w:rPr>
          <w:rFonts w:ascii="Garamond" w:hAnsi="Garamond"/>
        </w:rPr>
        <w:t>Items in e</w:t>
      </w:r>
      <w:r w:rsidR="004838B1" w:rsidRPr="00F46CC4">
        <w:rPr>
          <w:rFonts w:ascii="Garamond" w:hAnsi="Garamond"/>
        </w:rPr>
        <w:t xml:space="preserve">ach of the four domains </w:t>
      </w:r>
      <w:r w:rsidR="005D65B7" w:rsidRPr="00F46CC4">
        <w:rPr>
          <w:rFonts w:ascii="Garamond" w:hAnsi="Garamond"/>
        </w:rPr>
        <w:t>were</w:t>
      </w:r>
      <w:r w:rsidR="002C4511" w:rsidRPr="00F46CC4">
        <w:rPr>
          <w:rFonts w:ascii="Garamond" w:hAnsi="Garamond"/>
        </w:rPr>
        <w:t xml:space="preserve"> ostensibly</w:t>
      </w:r>
      <w:r w:rsidR="004838B1" w:rsidRPr="00F46CC4">
        <w:rPr>
          <w:rFonts w:ascii="Garamond" w:hAnsi="Garamond"/>
        </w:rPr>
        <w:t xml:space="preserve"> selected for pragmatic </w:t>
      </w:r>
      <w:r w:rsidR="008722E4" w:rsidRPr="00F46CC4">
        <w:rPr>
          <w:rFonts w:ascii="Garamond" w:hAnsi="Garamond"/>
        </w:rPr>
        <w:t xml:space="preserve">reasons </w:t>
      </w:r>
      <w:r w:rsidR="004838B1" w:rsidRPr="00F46CC4">
        <w:rPr>
          <w:rFonts w:ascii="Garamond" w:hAnsi="Garamond"/>
        </w:rPr>
        <w:t xml:space="preserve">rather than </w:t>
      </w:r>
      <w:r w:rsidR="008722E4" w:rsidRPr="00F46CC4">
        <w:rPr>
          <w:rFonts w:ascii="Garamond" w:hAnsi="Garamond"/>
        </w:rPr>
        <w:t>their underlying internal validity</w:t>
      </w:r>
      <w:r w:rsidR="004838B1" w:rsidRPr="00F46CC4">
        <w:rPr>
          <w:rFonts w:ascii="Garamond" w:hAnsi="Garamond"/>
        </w:rPr>
        <w:t>, and several</w:t>
      </w:r>
      <w:r w:rsidR="00A66971" w:rsidRPr="00F46CC4">
        <w:rPr>
          <w:rFonts w:ascii="Garamond" w:hAnsi="Garamond"/>
        </w:rPr>
        <w:t xml:space="preserve"> items</w:t>
      </w:r>
      <w:r w:rsidR="004838B1" w:rsidRPr="00F46CC4">
        <w:rPr>
          <w:rFonts w:ascii="Garamond" w:hAnsi="Garamond"/>
        </w:rPr>
        <w:t xml:space="preserve"> are conceptually orthogonal to mechanisms </w:t>
      </w:r>
      <w:r w:rsidR="00F03D5B" w:rsidRPr="00F46CC4">
        <w:rPr>
          <w:rFonts w:ascii="Garamond" w:hAnsi="Garamond"/>
        </w:rPr>
        <w:t>known to</w:t>
      </w:r>
      <w:r w:rsidR="004838B1" w:rsidRPr="00F46CC4">
        <w:rPr>
          <w:rFonts w:ascii="Garamond" w:hAnsi="Garamond"/>
        </w:rPr>
        <w:t xml:space="preserve"> drive violence. The “</w:t>
      </w:r>
      <w:r w:rsidR="00E21621" w:rsidRPr="00F46CC4">
        <w:rPr>
          <w:rFonts w:ascii="Garamond" w:hAnsi="Garamond"/>
        </w:rPr>
        <w:t>H</w:t>
      </w:r>
      <w:r w:rsidR="0009687C" w:rsidRPr="00F46CC4">
        <w:rPr>
          <w:rFonts w:ascii="Garamond" w:hAnsi="Garamond"/>
        </w:rPr>
        <w:t>ousehold”</w:t>
      </w:r>
      <w:r w:rsidR="004838B1" w:rsidRPr="00F46CC4">
        <w:rPr>
          <w:rFonts w:ascii="Garamond" w:hAnsi="Garamond"/>
        </w:rPr>
        <w:t xml:space="preserve"> domain, for example, </w:t>
      </w:r>
      <w:r w:rsidR="0009687C" w:rsidRPr="00F46CC4">
        <w:rPr>
          <w:rFonts w:ascii="Garamond" w:hAnsi="Garamond"/>
        </w:rPr>
        <w:t>combines</w:t>
      </w:r>
      <w:r w:rsidR="004838B1" w:rsidRPr="00F46CC4">
        <w:rPr>
          <w:rFonts w:ascii="Garamond" w:hAnsi="Garamond"/>
        </w:rPr>
        <w:t xml:space="preserve"> </w:t>
      </w:r>
      <w:r w:rsidR="0009687C" w:rsidRPr="00F46CC4">
        <w:rPr>
          <w:rFonts w:ascii="Garamond" w:hAnsi="Garamond"/>
        </w:rPr>
        <w:t xml:space="preserve">dependency ratios, </w:t>
      </w:r>
      <w:r w:rsidR="006678AD" w:rsidRPr="00F46CC4">
        <w:rPr>
          <w:rFonts w:ascii="Garamond" w:hAnsi="Garamond"/>
        </w:rPr>
        <w:t>disability status</w:t>
      </w:r>
      <w:r w:rsidR="0009687C" w:rsidRPr="00F46CC4">
        <w:rPr>
          <w:rFonts w:ascii="Garamond" w:hAnsi="Garamond"/>
        </w:rPr>
        <w:t>,</w:t>
      </w:r>
      <w:r w:rsidR="004838B1" w:rsidRPr="00F46CC4">
        <w:rPr>
          <w:rFonts w:ascii="Garamond" w:hAnsi="Garamond"/>
        </w:rPr>
        <w:t xml:space="preserve"> and linguistic isolation</w:t>
      </w:r>
      <w:r w:rsidR="007717FE" w:rsidRPr="00F46CC4">
        <w:rPr>
          <w:rFonts w:ascii="Garamond" w:hAnsi="Garamond"/>
        </w:rPr>
        <w:t>.</w:t>
      </w:r>
      <w:r w:rsidR="007717FE">
        <w:rPr>
          <w:rFonts w:ascii="Garamond" w:hAnsi="Garamond"/>
        </w:rPr>
        <w:t xml:space="preserve"> While these </w:t>
      </w:r>
      <w:r w:rsidR="004838B1" w:rsidRPr="006678AD">
        <w:rPr>
          <w:rFonts w:ascii="Garamond" w:hAnsi="Garamond"/>
        </w:rPr>
        <w:t>factors may influence post-disaster response</w:t>
      </w:r>
      <w:r w:rsidR="007717FE">
        <w:rPr>
          <w:rFonts w:ascii="Garamond" w:hAnsi="Garamond"/>
        </w:rPr>
        <w:t>, they</w:t>
      </w:r>
      <w:r w:rsidR="004838B1" w:rsidRPr="006678AD">
        <w:rPr>
          <w:rFonts w:ascii="Garamond" w:hAnsi="Garamond"/>
        </w:rPr>
        <w:t xml:space="preserve"> have ambiguous or even</w:t>
      </w:r>
      <w:r w:rsidR="002C4511">
        <w:rPr>
          <w:rFonts w:ascii="Garamond" w:hAnsi="Garamond"/>
        </w:rPr>
        <w:t xml:space="preserve"> well-established</w:t>
      </w:r>
      <w:r w:rsidR="004838B1" w:rsidRPr="006678AD">
        <w:rPr>
          <w:rFonts w:ascii="Garamond" w:hAnsi="Garamond"/>
        </w:rPr>
        <w:t xml:space="preserve"> </w:t>
      </w:r>
      <w:r w:rsidR="004838B1" w:rsidRPr="002004B0">
        <w:rPr>
          <w:rFonts w:ascii="Garamond" w:hAnsi="Garamond"/>
          <w:i/>
          <w:iCs/>
        </w:rPr>
        <w:t>protective</w:t>
      </w:r>
      <w:r w:rsidR="004838B1" w:rsidRPr="006678AD">
        <w:rPr>
          <w:rFonts w:ascii="Garamond" w:hAnsi="Garamond"/>
        </w:rPr>
        <w:t xml:space="preserve"> relationships with violence</w:t>
      </w:r>
      <w:r w:rsidR="00711787">
        <w:rPr>
          <w:rFonts w:ascii="Garamond" w:hAnsi="Garamond"/>
        </w:rPr>
        <w:t xml:space="preserve">. For instance, </w:t>
      </w:r>
      <w:r w:rsidR="00B215A0">
        <w:rPr>
          <w:rFonts w:ascii="Garamond" w:hAnsi="Garamond"/>
        </w:rPr>
        <w:t xml:space="preserve">limited </w:t>
      </w:r>
      <w:r w:rsidR="00711787">
        <w:rPr>
          <w:rFonts w:ascii="Garamond" w:hAnsi="Garamond"/>
        </w:rPr>
        <w:t xml:space="preserve">English proficiency is </w:t>
      </w:r>
      <w:r w:rsidR="00B215A0">
        <w:rPr>
          <w:rFonts w:ascii="Garamond" w:hAnsi="Garamond"/>
        </w:rPr>
        <w:t>more common</w:t>
      </w:r>
      <w:r w:rsidR="00711787">
        <w:rPr>
          <w:rFonts w:ascii="Garamond" w:hAnsi="Garamond"/>
        </w:rPr>
        <w:t xml:space="preserve"> in first-generation immigrant communities, </w:t>
      </w:r>
      <w:r w:rsidR="00B215A0">
        <w:rPr>
          <w:rFonts w:ascii="Garamond" w:hAnsi="Garamond"/>
        </w:rPr>
        <w:t>which frequently exhibit low levels of interpersonal violence</w:t>
      </w:r>
      <w:r w:rsidR="001F663D">
        <w:rPr>
          <w:rFonts w:ascii="Garamond" w:hAnsi="Garamond" w:hint="eastAsia"/>
          <w:lang w:eastAsia="ko-KR"/>
        </w:rPr>
        <w:t xml:space="preserve"> </w:t>
      </w:r>
      <w:r w:rsidR="001F663D">
        <w:rPr>
          <w:rFonts w:ascii="Garamond" w:hAnsi="Garamond"/>
          <w:lang w:eastAsia="ko-KR"/>
        </w:rPr>
        <w:fldChar w:fldCharType="begin"/>
      </w:r>
      <w:r w:rsidR="005548B3">
        <w:rPr>
          <w:rFonts w:ascii="Garamond" w:hAnsi="Garamond"/>
          <w:lang w:eastAsia="ko-KR"/>
        </w:rPr>
        <w:instrText xml:space="preserve"> ADDIN ZOTERO_ITEM CSL_CITATION {"citationID":"C7M6ST0w","properties":{"unsorted":false,"formattedCitation":"[42]","plainCitation":"[42]","noteIndex":0},"citationItems":[{"id":27444,"uris":["http://zotero.org/users/7595310/items/5YUG9ML5"],"itemData":{"id":27444,"type":"article-journal","abstract":"Are immigration and crime related? This review addresses this question in order to build a deeper understanding of the immigration-crime relationship. We synthesize the recent generation (1994 to 2014) of immigration-crime research focused on macrosocial (i.e., geospatial) units using a two-pronged approach that combines the qualitative method of narrative review with the quantitative strategy of systematic meta-analysis. After briefly reviewing contradictory theoretical arguments that scholars have invoked in efforts to explain the immigration-crime relationship, we present findings from our analysis, which (a) determined the average effect of immigration on crime rates across the body of literature and (b) assessed how variations in key aspects of research design have impacted results obtained in prior studies. Findings indicate that, overall, the immigration-crime association is negative—but very weak. At the same time, there is significant variation in findings across studies. Study design features, including measurement of the dependent variable, units of analysis, temporal design, and locational context, impact the immigration-crime association in varied ways. We conclude the review with a discussion of promising new directions and remaining challenges in research on the immigration-crime nexus.","citation-key":"ousey_2018_annu.rev.criminol.","container-title":"Annual Review of Criminology","DOI":"10.1146/annurev-criminol-032317-092026","ISSN":"2572-4568","issue":"Volume 1, 2018","language":"en","page":"63-84","publisher":"Annual Reviews","source":"www-annualreviews-org.libproxy.albany.edu","title":"Immigration and crime: Assessing a contentious issue","title-short":"Immigration and crime","volume":"1","author":[{"family":"Ousey","given":"Graham C."},{"family":"Kubrin","given":"Charis E."}],"issued":{"date-parts":[["2018",1,13]]}}}],"schema":"https://github.com/citation-style-language/schema/raw/master/csl-citation.json"} </w:instrText>
      </w:r>
      <w:r w:rsidR="001F663D">
        <w:rPr>
          <w:rFonts w:ascii="Garamond" w:hAnsi="Garamond"/>
          <w:lang w:eastAsia="ko-KR"/>
        </w:rPr>
        <w:fldChar w:fldCharType="separate"/>
      </w:r>
      <w:r w:rsidR="005548B3" w:rsidRPr="005548B3">
        <w:rPr>
          <w:rFonts w:ascii="Garamond" w:hAnsi="Garamond"/>
          <w:lang w:eastAsia="ko-KR"/>
        </w:rPr>
        <w:t>[42]</w:t>
      </w:r>
      <w:r w:rsidR="001F663D">
        <w:rPr>
          <w:rFonts w:ascii="Garamond" w:hAnsi="Garamond"/>
          <w:lang w:eastAsia="ko-KR"/>
        </w:rPr>
        <w:fldChar w:fldCharType="end"/>
      </w:r>
      <w:r w:rsidR="004838B1" w:rsidRPr="004838B1">
        <w:rPr>
          <w:rFonts w:ascii="Garamond" w:hAnsi="Garamond"/>
        </w:rPr>
        <w:t>.</w:t>
      </w:r>
      <w:r w:rsidR="002004B0" w:rsidRPr="002004B0">
        <w:rPr>
          <w:rStyle w:val="FootnoteReference"/>
          <w:rFonts w:ascii="Garamond" w:hAnsi="Garamond"/>
        </w:rPr>
        <w:t xml:space="preserve"> </w:t>
      </w:r>
      <w:r w:rsidR="002004B0">
        <w:rPr>
          <w:rStyle w:val="FootnoteReference"/>
          <w:rFonts w:ascii="Garamond" w:hAnsi="Garamond"/>
        </w:rPr>
        <w:footnoteReference w:id="1"/>
      </w:r>
      <w:r w:rsidR="004838B1" w:rsidRPr="004838B1">
        <w:rPr>
          <w:rFonts w:ascii="Garamond" w:hAnsi="Garamond"/>
        </w:rPr>
        <w:t xml:space="preserve"> </w:t>
      </w:r>
      <w:r w:rsidR="00711787">
        <w:rPr>
          <w:rFonts w:ascii="Garamond" w:hAnsi="Garamond"/>
        </w:rPr>
        <w:t>Similarly, mobile home</w:t>
      </w:r>
      <w:r w:rsidR="00B215A0">
        <w:rPr>
          <w:rFonts w:ascii="Garamond" w:hAnsi="Garamond"/>
        </w:rPr>
        <w:t xml:space="preserve"> concentration, </w:t>
      </w:r>
      <w:r w:rsidR="00711787">
        <w:rPr>
          <w:rFonts w:ascii="Garamond" w:hAnsi="Garamond"/>
        </w:rPr>
        <w:t xml:space="preserve">a key component of the Housing and Transportation domain, is </w:t>
      </w:r>
      <w:r w:rsidR="00B215A0">
        <w:rPr>
          <w:rFonts w:ascii="Garamond" w:hAnsi="Garamond"/>
        </w:rPr>
        <w:t>more prevalent</w:t>
      </w:r>
      <w:r w:rsidR="00711787">
        <w:rPr>
          <w:rFonts w:ascii="Garamond" w:hAnsi="Garamond"/>
        </w:rPr>
        <w:t xml:space="preserve"> in rural communities, where rates of violence are </w:t>
      </w:r>
      <w:r w:rsidR="00B215A0">
        <w:rPr>
          <w:rFonts w:ascii="Garamond" w:hAnsi="Garamond"/>
        </w:rPr>
        <w:t>generally</w:t>
      </w:r>
      <w:r w:rsidR="00711787">
        <w:rPr>
          <w:rFonts w:ascii="Garamond" w:hAnsi="Garamond"/>
        </w:rPr>
        <w:t xml:space="preserve"> lower</w:t>
      </w:r>
      <w:r w:rsidR="00B215A0">
        <w:rPr>
          <w:rFonts w:ascii="Garamond" w:hAnsi="Garamond"/>
        </w:rPr>
        <w:t xml:space="preserve"> than in urban areas, where mobile homes are comparatively uncommon</w:t>
      </w:r>
      <w:r w:rsidR="00711787">
        <w:rPr>
          <w:rFonts w:ascii="Garamond" w:hAnsi="Garamond"/>
        </w:rPr>
        <w:t>.</w:t>
      </w:r>
      <w:r w:rsidR="00711787" w:rsidRPr="004838B1">
        <w:rPr>
          <w:rFonts w:ascii="Garamond" w:hAnsi="Garamond"/>
        </w:rPr>
        <w:t xml:space="preserve"> </w:t>
      </w:r>
      <w:r w:rsidR="004838B1" w:rsidRPr="004838B1">
        <w:rPr>
          <w:rFonts w:ascii="Garamond" w:hAnsi="Garamond"/>
        </w:rPr>
        <w:t xml:space="preserve">Studies evaluating </w:t>
      </w:r>
      <w:r w:rsidR="002C4511">
        <w:rPr>
          <w:rFonts w:ascii="Garamond" w:hAnsi="Garamond"/>
        </w:rPr>
        <w:t>the SVI’s</w:t>
      </w:r>
      <w:r w:rsidR="004838B1" w:rsidRPr="004838B1">
        <w:rPr>
          <w:rFonts w:ascii="Garamond" w:hAnsi="Garamond"/>
        </w:rPr>
        <w:t xml:space="preserve"> measurement properties</w:t>
      </w:r>
      <w:r w:rsidR="001F663D">
        <w:rPr>
          <w:rFonts w:ascii="Garamond" w:hAnsi="Garamond" w:hint="eastAsia"/>
          <w:lang w:eastAsia="ko-KR"/>
        </w:rPr>
        <w:t xml:space="preserve"> </w:t>
      </w:r>
      <w:r w:rsidR="004838B1" w:rsidRPr="004838B1">
        <w:rPr>
          <w:rFonts w:ascii="Garamond" w:hAnsi="Garamond"/>
        </w:rPr>
        <w:t>consistently show weak internal consistency across domains and unstable factor structures across spatial scales</w:t>
      </w:r>
      <w:r w:rsidR="00842C33">
        <w:rPr>
          <w:rFonts w:ascii="Garamond" w:hAnsi="Garamond" w:hint="eastAsia"/>
          <w:lang w:eastAsia="ko-KR"/>
        </w:rPr>
        <w:t xml:space="preserve"> </w:t>
      </w:r>
      <w:r w:rsidR="00842C33">
        <w:rPr>
          <w:rFonts w:ascii="Garamond" w:hAnsi="Garamond"/>
          <w:lang w:eastAsia="ko-KR"/>
        </w:rPr>
        <w:fldChar w:fldCharType="begin"/>
      </w:r>
      <w:r w:rsidR="005548B3">
        <w:rPr>
          <w:rFonts w:ascii="Garamond" w:hAnsi="Garamond"/>
          <w:lang w:eastAsia="ko-KR"/>
        </w:rPr>
        <w:instrText xml:space="preserve"> ADDIN ZOTERO_ITEM CSL_CITATION {"citationID":"Sv0lVZW2","properties":{"unsorted":false,"formattedCitation":"[43,44]","plainCitation":"[43,44]","noteIndex":0},"citationItems":[{"id":27477,"uris":["http://zotero.org/users/7595310/items/246VKGNE"],"itemData":{"id":27477,"type":"article-journal","abstract":"As a concept, social vulnerability describes combinations of social, cultural, economic, political, and institutional processes that shape socioeconomic differentials in the experience of and recovery from hazards. Quantitative measures of social vulnerability are widely used in research and practice. In this paper, we establish criteria for the evaluation of social vulnerability indicators and apply those criteria to the most widely used measure of social vulnerability, the Social Vulnerability Index (SoVI). SoVI is a single quantitative indicator that purports to measure a place’s social vulnerability. We show that SoVI has some critical shortcomings regarding theoretical and internal consistency. Specifically, multiple SoVI-based measurements of the vulnerability of the same place, using the same data, can yield strikingly different results. We also show that the SoVI is often misaligned with theory; increases in variables that contribute to vulnerability, like the unemployment rate, often decrease vulnerability as measured by the SoVI. We caution against the use of the index in policy making or other risk-reduction efforts, and we suggest ways to more reliably assess social vulnerability in practice.","citation-key":"spielman_2020_nathazards","container-title":"Natural Hazards","DOI":"10.1007/s11069-019-03820-z","ISSN":"1573-0840","issue":"1","journalAbbreviation":"Nat Hazards","language":"en","page":"417-436","source":"Springer Link","title":"Evaluating social vulnerability indicators: criteria and their application to the social vulnerability index","title-short":"Evaluating social vulnerability indicators","volume":"100","author":[{"family":"Spielman","given":"Seth E."},{"family":"Tuccillo","given":"Joseph"},{"family":"Folch","given":"David C."},{"family":"Schweikert","given":"Amy"},{"family":"Davies","given":"Rebecca"},{"family":"Wood","given":"Nathan"},{"family":"Tate","given":"Eric"}],"issued":{"date-parts":[["2020",1,1]]}}},{"id":27457,"uris":["http://zotero.org/users/7595310/items/KFCL6EYV"],"itemData":{"id":27457,"type":"article-journal","abstract":"A leading challenge in measuring social vulnerability to hazards is for output metrics to better reflect the context in which vulnerability occurs. Through a meta-analysis of 67 flood disaster case studies (1997–2013), this paper profiles the leading drivers of social vulnerability to floods. The results identify demographic characteristics, socioeconomic status, and health as the leading empirical drivers of social vulnerability to damaging flood events. However, risk perception and coping capacity also featured prominently in the case studies, yet these factors tend to be poorly reflected in many social vulnerability indicators. The influence of social vulnerability drivers varied considerably by disaster stage and national setting, highlighting the importance of context in understanding social vulnerability precursors, processes, and outcomes. To help tailor quantitative indicators of social vulnerability to flood contexts, the article concludes with recommendations concerning temporal context, measurability, and indicator interrelationships.","citation-key":"rufat_2015_internationaljournalofdisasterriskreduction","container-title":"International Journal of Disaster Risk Reduction","DOI":"10.1016/j.ijdrr.2015.09.013","ISSN":"2212-4209","journalAbbreviation":"International Journal of Disaster Risk Reduction","page":"470-486","source":"ScienceDirect","title":"Social vulnerability to floods: Review of case studies and implications for measurement","title-short":"Social vulnerability to floods","volume":"14","author":[{"family":"Rufat","given":"Samuel"},{"family":"Tate","given":"Eric"},{"family":"Burton","given":"Christopher G."},{"family":"Maroof","given":"Abu Sayeed"}],"issued":{"date-parts":[["2015",12,1]]}}}],"schema":"https://github.com/citation-style-language/schema/raw/master/csl-citation.json"} </w:instrText>
      </w:r>
      <w:r w:rsidR="00842C33">
        <w:rPr>
          <w:rFonts w:ascii="Garamond" w:hAnsi="Garamond"/>
          <w:lang w:eastAsia="ko-KR"/>
        </w:rPr>
        <w:fldChar w:fldCharType="separate"/>
      </w:r>
      <w:r w:rsidR="005548B3" w:rsidRPr="005548B3">
        <w:rPr>
          <w:rFonts w:ascii="Garamond" w:hAnsi="Garamond"/>
          <w:lang w:eastAsia="ko-KR"/>
        </w:rPr>
        <w:t>[43,44]</w:t>
      </w:r>
      <w:r w:rsidR="00842C33">
        <w:rPr>
          <w:rFonts w:ascii="Garamond" w:hAnsi="Garamond"/>
          <w:lang w:eastAsia="ko-KR"/>
        </w:rPr>
        <w:fldChar w:fldCharType="end"/>
      </w:r>
      <w:r w:rsidR="004838B1" w:rsidRPr="004838B1">
        <w:rPr>
          <w:rFonts w:ascii="Garamond" w:hAnsi="Garamond"/>
        </w:rPr>
        <w:t xml:space="preserve">. In short, </w:t>
      </w:r>
      <w:r w:rsidR="00E0404E">
        <w:rPr>
          <w:rFonts w:ascii="Garamond" w:hAnsi="Garamond"/>
        </w:rPr>
        <w:t xml:space="preserve">in the context of community firearm research, </w:t>
      </w:r>
      <w:r w:rsidR="004838B1" w:rsidRPr="004838B1">
        <w:rPr>
          <w:rFonts w:ascii="Garamond" w:hAnsi="Garamond"/>
        </w:rPr>
        <w:t xml:space="preserve">the SVI </w:t>
      </w:r>
      <w:r w:rsidR="00E0404E">
        <w:rPr>
          <w:rFonts w:ascii="Garamond" w:hAnsi="Garamond"/>
        </w:rPr>
        <w:t xml:space="preserve">appears to </w:t>
      </w:r>
      <w:r w:rsidR="00A66971">
        <w:rPr>
          <w:rFonts w:ascii="Garamond" w:hAnsi="Garamond"/>
        </w:rPr>
        <w:t>reflect</w:t>
      </w:r>
      <w:r w:rsidR="004838B1" w:rsidRPr="004838B1">
        <w:rPr>
          <w:rFonts w:ascii="Garamond" w:hAnsi="Garamond"/>
        </w:rPr>
        <w:t xml:space="preserve"> a </w:t>
      </w:r>
      <w:r w:rsidR="004838B1" w:rsidRPr="001E73D5">
        <w:rPr>
          <w:rFonts w:ascii="Garamond" w:hAnsi="Garamond"/>
        </w:rPr>
        <w:t>convenient composite</w:t>
      </w:r>
      <w:r w:rsidR="001E73D5">
        <w:rPr>
          <w:rFonts w:ascii="Garamond" w:hAnsi="Garamond"/>
        </w:rPr>
        <w:t xml:space="preserve"> measure</w:t>
      </w:r>
      <w:r w:rsidR="004838B1" w:rsidRPr="004838B1">
        <w:rPr>
          <w:rFonts w:ascii="Garamond" w:hAnsi="Garamond"/>
        </w:rPr>
        <w:t xml:space="preserve">, </w:t>
      </w:r>
      <w:r w:rsidR="00527B30">
        <w:rPr>
          <w:rFonts w:ascii="Garamond" w:hAnsi="Garamond"/>
        </w:rPr>
        <w:t>rather than a</w:t>
      </w:r>
      <w:r w:rsidR="004838B1" w:rsidRPr="004838B1">
        <w:rPr>
          <w:rFonts w:ascii="Garamond" w:hAnsi="Garamond"/>
        </w:rPr>
        <w:t xml:space="preserve"> validated scale</w:t>
      </w:r>
      <w:r w:rsidR="00527B30">
        <w:rPr>
          <w:rFonts w:ascii="Garamond" w:hAnsi="Garamond"/>
        </w:rPr>
        <w:t xml:space="preserve"> in the traditional sense</w:t>
      </w:r>
      <w:r w:rsidR="004838B1" w:rsidRPr="004838B1">
        <w:rPr>
          <w:rFonts w:ascii="Garamond" w:hAnsi="Garamond"/>
        </w:rPr>
        <w:t>.</w:t>
      </w:r>
      <w:r w:rsidR="00EF0A50">
        <w:rPr>
          <w:rFonts w:ascii="Garamond" w:hAnsi="Garamond"/>
        </w:rPr>
        <w:t xml:space="preserve"> </w:t>
      </w:r>
      <w:r w:rsidR="003E3E7F">
        <w:rPr>
          <w:rFonts w:ascii="Garamond" w:hAnsi="Garamond"/>
        </w:rPr>
        <w:t>To further illustrate some of these issues, w</w:t>
      </w:r>
      <w:r w:rsidR="00EF0A50">
        <w:rPr>
          <w:rFonts w:ascii="Garamond" w:hAnsi="Garamond"/>
        </w:rPr>
        <w:t xml:space="preserve">e now turn to a brief description of the measurement structure of the SVI. </w:t>
      </w:r>
    </w:p>
    <w:p w14:paraId="60EF2E4E" w14:textId="77777777" w:rsidR="00CE67E0" w:rsidRDefault="00CE67E0" w:rsidP="00922E48">
      <w:pPr>
        <w:spacing w:after="0" w:line="240" w:lineRule="auto"/>
        <w:jc w:val="both"/>
        <w:rPr>
          <w:rFonts w:ascii="Garamond" w:hAnsi="Garamond"/>
          <w:b/>
          <w:bCs/>
        </w:rPr>
      </w:pPr>
    </w:p>
    <w:p w14:paraId="6CA7ABE1" w14:textId="422EA9EE" w:rsidR="00922E48" w:rsidRPr="004838B1" w:rsidRDefault="00922E48" w:rsidP="00C028DE">
      <w:pPr>
        <w:spacing w:after="0" w:line="480" w:lineRule="auto"/>
        <w:jc w:val="both"/>
        <w:rPr>
          <w:rFonts w:ascii="Garamond" w:hAnsi="Garamond"/>
          <w:b/>
          <w:bCs/>
        </w:rPr>
      </w:pPr>
      <w:r w:rsidRPr="004838B1">
        <w:rPr>
          <w:rFonts w:ascii="Garamond" w:hAnsi="Garamond"/>
          <w:b/>
          <w:bCs/>
        </w:rPr>
        <w:t>Construct</w:t>
      </w:r>
      <w:r w:rsidR="00CE67E0">
        <w:rPr>
          <w:rFonts w:ascii="Garamond" w:hAnsi="Garamond"/>
          <w:b/>
          <w:bCs/>
        </w:rPr>
        <w:t>ing</w:t>
      </w:r>
      <w:r w:rsidRPr="004838B1">
        <w:rPr>
          <w:rFonts w:ascii="Garamond" w:hAnsi="Garamond"/>
          <w:b/>
          <w:bCs/>
        </w:rPr>
        <w:t xml:space="preserve"> </w:t>
      </w:r>
      <w:r w:rsidR="00CE67E0">
        <w:rPr>
          <w:rFonts w:ascii="Garamond" w:hAnsi="Garamond"/>
          <w:b/>
          <w:bCs/>
        </w:rPr>
        <w:t>Vulnerability</w:t>
      </w:r>
    </w:p>
    <w:p w14:paraId="7071622E" w14:textId="009F01F0" w:rsidR="00922E48" w:rsidRPr="001844DF" w:rsidRDefault="00922E48" w:rsidP="00C028DE">
      <w:pPr>
        <w:spacing w:after="0" w:line="480" w:lineRule="auto"/>
        <w:ind w:firstLine="720"/>
        <w:jc w:val="both"/>
        <w:rPr>
          <w:rFonts w:ascii="Garamond" w:hAnsi="Garamond"/>
        </w:rPr>
      </w:pPr>
      <w:r w:rsidRPr="001844DF">
        <w:rPr>
          <w:rFonts w:ascii="Garamond" w:hAnsi="Garamond"/>
        </w:rPr>
        <w:t xml:space="preserve">The </w:t>
      </w:r>
      <w:r w:rsidR="00EF0A50">
        <w:rPr>
          <w:rFonts w:ascii="Garamond" w:hAnsi="Garamond"/>
        </w:rPr>
        <w:t>SVI</w:t>
      </w:r>
      <w:r w:rsidRPr="001844DF">
        <w:rPr>
          <w:rFonts w:ascii="Garamond" w:hAnsi="Garamond"/>
        </w:rPr>
        <w:t xml:space="preserve"> combines information from the U.S. Census and American Community Survey to produce a single score that represents how “socially vulnerable” each census tract is relative to </w:t>
      </w:r>
      <w:r w:rsidR="00527B30">
        <w:rPr>
          <w:rFonts w:ascii="Garamond" w:hAnsi="Garamond"/>
        </w:rPr>
        <w:t xml:space="preserve">other </w:t>
      </w:r>
      <w:r w:rsidR="00527B30">
        <w:rPr>
          <w:rFonts w:ascii="Garamond" w:hAnsi="Garamond"/>
        </w:rPr>
        <w:lastRenderedPageBreak/>
        <w:t xml:space="preserve">tracts in the U.S. or within states, depending on the </w:t>
      </w:r>
      <w:r w:rsidR="00364CAF">
        <w:rPr>
          <w:rFonts w:ascii="Garamond" w:hAnsi="Garamond"/>
        </w:rPr>
        <w:t>relative risk ranking procedure employed</w:t>
      </w:r>
      <w:r w:rsidRPr="001844DF">
        <w:rPr>
          <w:rFonts w:ascii="Garamond" w:hAnsi="Garamond"/>
        </w:rPr>
        <w:t>.</w:t>
      </w:r>
      <w:r w:rsidR="00EF6B4B">
        <w:rPr>
          <w:rStyle w:val="FootnoteReference"/>
          <w:rFonts w:ascii="Garamond" w:hAnsi="Garamond"/>
        </w:rPr>
        <w:footnoteReference w:id="2"/>
      </w:r>
      <w:r w:rsidR="00F03D5B">
        <w:rPr>
          <w:rFonts w:ascii="Garamond" w:hAnsi="Garamond"/>
        </w:rPr>
        <w:t xml:space="preserve"> It consists of </w:t>
      </w:r>
      <w:r w:rsidRPr="001844DF">
        <w:rPr>
          <w:rFonts w:ascii="Garamond" w:hAnsi="Garamond"/>
        </w:rPr>
        <w:t>1</w:t>
      </w:r>
      <w:r w:rsidR="00F03D5B">
        <w:rPr>
          <w:rFonts w:ascii="Garamond" w:hAnsi="Garamond"/>
        </w:rPr>
        <w:t>6</w:t>
      </w:r>
      <w:r w:rsidRPr="001844DF">
        <w:rPr>
          <w:rFonts w:ascii="Garamond" w:hAnsi="Garamond"/>
        </w:rPr>
        <w:t xml:space="preserve"> different social and demographic characteristics that are grouped into four themes</w:t>
      </w:r>
      <w:r>
        <w:rPr>
          <w:rFonts w:ascii="Garamond" w:hAnsi="Garamond"/>
        </w:rPr>
        <w:t xml:space="preserve">: (see </w:t>
      </w:r>
      <w:r w:rsidR="008824EA">
        <w:rPr>
          <w:rFonts w:ascii="Garamond" w:hAnsi="Garamond"/>
        </w:rPr>
        <w:t>Appendix A1</w:t>
      </w:r>
      <w:r>
        <w:rPr>
          <w:rFonts w:ascii="Garamond" w:hAnsi="Garamond"/>
        </w:rPr>
        <w:t xml:space="preserve"> for overview)</w:t>
      </w:r>
      <w:r w:rsidR="00051DCF">
        <w:rPr>
          <w:rFonts w:ascii="Garamond" w:hAnsi="Garamond"/>
        </w:rPr>
        <w:t xml:space="preserve">. </w:t>
      </w:r>
      <w:r w:rsidR="00051DCF" w:rsidRPr="001844DF">
        <w:rPr>
          <w:rFonts w:ascii="Garamond" w:hAnsi="Garamond"/>
        </w:rPr>
        <w:t xml:space="preserve">To calculate the index, each of the </w:t>
      </w:r>
      <w:r w:rsidR="00F03D5B">
        <w:rPr>
          <w:rFonts w:ascii="Garamond" w:hAnsi="Garamond"/>
        </w:rPr>
        <w:t>16</w:t>
      </w:r>
      <w:r w:rsidR="00051DCF" w:rsidRPr="001844DF">
        <w:rPr>
          <w:rFonts w:ascii="Garamond" w:hAnsi="Garamond"/>
        </w:rPr>
        <w:t xml:space="preserve"> variables is first adjusted so that higher numbers represent </w:t>
      </w:r>
      <w:r w:rsidR="00051DCF">
        <w:rPr>
          <w:rFonts w:ascii="Garamond" w:hAnsi="Garamond"/>
        </w:rPr>
        <w:t>greater</w:t>
      </w:r>
      <w:r w:rsidR="00051DCF" w:rsidRPr="001844DF">
        <w:rPr>
          <w:rFonts w:ascii="Garamond" w:hAnsi="Garamond"/>
        </w:rPr>
        <w:t xml:space="preserve"> vulnerability. For example, higher poverty or unemployment increases vulnerability, while higher </w:t>
      </w:r>
      <w:r w:rsidR="00A66B5D">
        <w:rPr>
          <w:rFonts w:ascii="Garamond" w:hAnsi="Garamond"/>
        </w:rPr>
        <w:t xml:space="preserve">average </w:t>
      </w:r>
      <w:r w:rsidR="00051DCF" w:rsidRPr="001844DF">
        <w:rPr>
          <w:rFonts w:ascii="Garamond" w:hAnsi="Garamond"/>
        </w:rPr>
        <w:t xml:space="preserve">income or education </w:t>
      </w:r>
      <w:r w:rsidR="00051DCF">
        <w:rPr>
          <w:rFonts w:ascii="Garamond" w:hAnsi="Garamond"/>
        </w:rPr>
        <w:t>diminishes</w:t>
      </w:r>
      <w:r w:rsidR="00051DCF" w:rsidRPr="001844DF">
        <w:rPr>
          <w:rFonts w:ascii="Garamond" w:hAnsi="Garamond"/>
        </w:rPr>
        <w:t xml:space="preserve"> it. Each tract is then ranked within its own state </w:t>
      </w:r>
      <w:r w:rsidR="00F03D5B">
        <w:rPr>
          <w:rFonts w:ascii="Garamond" w:hAnsi="Garamond"/>
        </w:rPr>
        <w:t xml:space="preserve">or relative to the entire nation </w:t>
      </w:r>
      <w:r w:rsidR="00051DCF" w:rsidRPr="001844DF">
        <w:rPr>
          <w:rFonts w:ascii="Garamond" w:hAnsi="Garamond"/>
        </w:rPr>
        <w:t xml:space="preserve">for every variable. The ranking is expressed as a percentile ranging from 0 (least vulnerable) to 1 (most vulnerable). This means a tract </w:t>
      </w:r>
      <w:r w:rsidR="0009719A">
        <w:rPr>
          <w:rFonts w:ascii="Garamond" w:hAnsi="Garamond"/>
        </w:rPr>
        <w:t>with an SVI score of</w:t>
      </w:r>
      <w:r w:rsidR="00CF5E17">
        <w:rPr>
          <w:rFonts w:ascii="Garamond" w:hAnsi="Garamond"/>
        </w:rPr>
        <w:t xml:space="preserve"> </w:t>
      </w:r>
      <w:r w:rsidR="00051DCF" w:rsidRPr="001844DF">
        <w:rPr>
          <w:rFonts w:ascii="Garamond" w:hAnsi="Garamond"/>
        </w:rPr>
        <w:t>0.90 is more vulnerable than 90% of other tracts.</w:t>
      </w:r>
    </w:p>
    <w:p w14:paraId="4701DB16" w14:textId="28BA53F9" w:rsidR="004838B1" w:rsidRPr="007F5FA9" w:rsidRDefault="00922E48" w:rsidP="007549EC">
      <w:pPr>
        <w:spacing w:after="0" w:line="480" w:lineRule="auto"/>
        <w:ind w:firstLine="720"/>
        <w:jc w:val="both"/>
        <w:rPr>
          <w:rFonts w:ascii="Garamond" w:hAnsi="Garamond"/>
        </w:rPr>
      </w:pPr>
      <w:r w:rsidRPr="001844DF">
        <w:rPr>
          <w:rFonts w:ascii="Garamond" w:hAnsi="Garamond"/>
        </w:rPr>
        <w:t xml:space="preserve">Within each of the four themes, these percentile values are </w:t>
      </w:r>
      <w:r w:rsidR="00551CFB">
        <w:rPr>
          <w:rFonts w:ascii="Garamond" w:hAnsi="Garamond"/>
        </w:rPr>
        <w:t>summed</w:t>
      </w:r>
      <w:r w:rsidR="00F87B29">
        <w:rPr>
          <w:rFonts w:ascii="Garamond" w:hAnsi="Garamond"/>
        </w:rPr>
        <w:t>, absent</w:t>
      </w:r>
      <w:r w:rsidRPr="001844DF">
        <w:rPr>
          <w:rFonts w:ascii="Garamond" w:hAnsi="Garamond"/>
        </w:rPr>
        <w:t xml:space="preserve"> any weighting</w:t>
      </w:r>
      <w:r w:rsidR="00F87B29">
        <w:rPr>
          <w:rFonts w:ascii="Garamond" w:hAnsi="Garamond"/>
        </w:rPr>
        <w:t xml:space="preserve">, </w:t>
      </w:r>
      <w:r w:rsidRPr="001844DF">
        <w:rPr>
          <w:rFonts w:ascii="Garamond" w:hAnsi="Garamond"/>
        </w:rPr>
        <w:t>to create a them</w:t>
      </w:r>
      <w:r w:rsidR="00D80B5A">
        <w:rPr>
          <w:rFonts w:ascii="Garamond" w:hAnsi="Garamond"/>
        </w:rPr>
        <w:t>atic</w:t>
      </w:r>
      <w:r w:rsidRPr="001844DF">
        <w:rPr>
          <w:rFonts w:ascii="Garamond" w:hAnsi="Garamond"/>
        </w:rPr>
        <w:t xml:space="preserve"> score. Each theme score is again converted into a percentile rank. Finally, the four theme percentiles are </w:t>
      </w:r>
      <w:r w:rsidR="00551CFB">
        <w:rPr>
          <w:rFonts w:ascii="Garamond" w:hAnsi="Garamond"/>
        </w:rPr>
        <w:t>combined</w:t>
      </w:r>
      <w:r w:rsidRPr="001844DF">
        <w:rPr>
          <w:rFonts w:ascii="Garamond" w:hAnsi="Garamond"/>
        </w:rPr>
        <w:t xml:space="preserve"> to create an overall vulnerability score, which is </w:t>
      </w:r>
      <w:r w:rsidR="00F03D5B">
        <w:rPr>
          <w:rFonts w:ascii="Garamond" w:hAnsi="Garamond"/>
        </w:rPr>
        <w:t>then converted into</w:t>
      </w:r>
      <w:r w:rsidRPr="001844DF">
        <w:rPr>
          <w:rFonts w:ascii="Garamond" w:hAnsi="Garamond"/>
        </w:rPr>
        <w:t xml:space="preserve"> a final percentile rank between 0 and 1. This final percentile is the tract’s </w:t>
      </w:r>
      <w:r w:rsidR="00DA0239">
        <w:rPr>
          <w:rFonts w:ascii="Garamond" w:hAnsi="Garamond"/>
        </w:rPr>
        <w:t xml:space="preserve">composite </w:t>
      </w:r>
      <w:r w:rsidRPr="001844DF">
        <w:rPr>
          <w:rFonts w:ascii="Garamond" w:hAnsi="Garamond"/>
        </w:rPr>
        <w:t>SVI value</w:t>
      </w:r>
      <w:r w:rsidR="007549EC">
        <w:rPr>
          <w:rFonts w:ascii="Garamond" w:hAnsi="Garamond"/>
        </w:rPr>
        <w:t>.</w:t>
      </w:r>
      <w:r w:rsidRPr="001844DF">
        <w:rPr>
          <w:rFonts w:ascii="Garamond" w:hAnsi="Garamond"/>
        </w:rPr>
        <w:t xml:space="preserve"> </w:t>
      </w:r>
      <w:r w:rsidR="00F001C9">
        <w:rPr>
          <w:rFonts w:ascii="Garamond" w:hAnsi="Garamond"/>
        </w:rPr>
        <w:t>H</w:t>
      </w:r>
      <w:r w:rsidRPr="001844DF">
        <w:rPr>
          <w:rFonts w:ascii="Garamond" w:hAnsi="Garamond"/>
        </w:rPr>
        <w:t xml:space="preserve">igher </w:t>
      </w:r>
      <w:r w:rsidR="00322F33">
        <w:rPr>
          <w:rFonts w:ascii="Garamond" w:hAnsi="Garamond"/>
        </w:rPr>
        <w:t>values</w:t>
      </w:r>
      <w:r w:rsidRPr="001844DF">
        <w:rPr>
          <w:rFonts w:ascii="Garamond" w:hAnsi="Garamond"/>
        </w:rPr>
        <w:t xml:space="preserve"> indicate greater social vulnerability relative to other tracts</w:t>
      </w:r>
      <w:r w:rsidR="00F001C9">
        <w:rPr>
          <w:rFonts w:ascii="Garamond" w:hAnsi="Garamond"/>
        </w:rPr>
        <w:t xml:space="preserve"> nationwide </w:t>
      </w:r>
      <w:r w:rsidR="00D95A63">
        <w:rPr>
          <w:rFonts w:ascii="Garamond" w:hAnsi="Garamond"/>
        </w:rPr>
        <w:t>or within</w:t>
      </w:r>
      <w:r w:rsidR="00F001C9">
        <w:rPr>
          <w:rFonts w:ascii="Garamond" w:hAnsi="Garamond"/>
        </w:rPr>
        <w:t xml:space="preserve"> </w:t>
      </w:r>
      <w:r w:rsidRPr="001844DF">
        <w:rPr>
          <w:rFonts w:ascii="Garamond" w:hAnsi="Garamond"/>
        </w:rPr>
        <w:t>in the same state</w:t>
      </w:r>
      <w:r w:rsidR="00F001C9">
        <w:rPr>
          <w:rFonts w:ascii="Garamond" w:hAnsi="Garamond"/>
        </w:rPr>
        <w:t>, depending on the calculation</w:t>
      </w:r>
      <w:r w:rsidRPr="001844DF">
        <w:rPr>
          <w:rFonts w:ascii="Garamond" w:hAnsi="Garamond"/>
        </w:rPr>
        <w:t>.</w:t>
      </w:r>
      <w:r>
        <w:rPr>
          <w:rFonts w:ascii="Garamond" w:hAnsi="Garamond"/>
        </w:rPr>
        <w:t xml:space="preserve"> </w:t>
      </w:r>
      <w:r w:rsidR="00F001C9">
        <w:rPr>
          <w:rFonts w:ascii="Garamond" w:hAnsi="Garamond"/>
        </w:rPr>
        <w:t>Importantly, the state-specific</w:t>
      </w:r>
      <w:r w:rsidRPr="001844DF">
        <w:rPr>
          <w:rFonts w:ascii="Garamond" w:hAnsi="Garamond"/>
        </w:rPr>
        <w:t xml:space="preserve"> rankings are calculated independently, </w:t>
      </w:r>
      <w:r w:rsidR="00F001C9">
        <w:rPr>
          <w:rFonts w:ascii="Garamond" w:hAnsi="Garamond"/>
        </w:rPr>
        <w:t xml:space="preserve">meaning that </w:t>
      </w:r>
      <w:r w:rsidRPr="001844DF">
        <w:rPr>
          <w:rFonts w:ascii="Garamond" w:hAnsi="Garamond"/>
        </w:rPr>
        <w:t xml:space="preserve">a tract ranked at the 90th percentile in one state might have much lower levels of poverty or unemployment than a tract ranked at the same percentile in another. The </w:t>
      </w:r>
      <w:r w:rsidR="00601333">
        <w:rPr>
          <w:rFonts w:ascii="Garamond" w:hAnsi="Garamond"/>
        </w:rPr>
        <w:t>publicly</w:t>
      </w:r>
      <w:r w:rsidR="003B34EB">
        <w:rPr>
          <w:rFonts w:ascii="Garamond" w:hAnsi="Garamond"/>
        </w:rPr>
        <w:t xml:space="preserve"> available</w:t>
      </w:r>
      <w:r w:rsidRPr="001844DF">
        <w:rPr>
          <w:rFonts w:ascii="Garamond" w:hAnsi="Garamond"/>
        </w:rPr>
        <w:t xml:space="preserve"> SVI dataset includes both the overall score and the four theme scores for every census tract in the United States.</w:t>
      </w:r>
      <w:r w:rsidR="00876B22">
        <w:rPr>
          <w:rStyle w:val="FootnoteReference"/>
          <w:rFonts w:ascii="Garamond" w:hAnsi="Garamond"/>
        </w:rPr>
        <w:footnoteReference w:id="3"/>
      </w:r>
      <w:r w:rsidRPr="001844DF">
        <w:rPr>
          <w:rFonts w:ascii="Garamond" w:hAnsi="Garamond"/>
        </w:rPr>
        <w:t xml:space="preserve"> </w:t>
      </w:r>
    </w:p>
    <w:p w14:paraId="60777484" w14:textId="43757BC9" w:rsidR="00357399" w:rsidRPr="00357399" w:rsidRDefault="00357399" w:rsidP="00C028DE">
      <w:pPr>
        <w:spacing w:after="0" w:line="480" w:lineRule="auto"/>
        <w:ind w:firstLine="720"/>
        <w:jc w:val="both"/>
        <w:rPr>
          <w:rFonts w:ascii="Garamond" w:hAnsi="Garamond"/>
        </w:rPr>
      </w:pPr>
      <w:r w:rsidRPr="00357399">
        <w:rPr>
          <w:rFonts w:ascii="Garamond" w:hAnsi="Garamond"/>
        </w:rPr>
        <w:t xml:space="preserve">The </w:t>
      </w:r>
      <w:r w:rsidR="00636217">
        <w:rPr>
          <w:rFonts w:ascii="Garamond" w:hAnsi="Garamond"/>
        </w:rPr>
        <w:t>potential limitations</w:t>
      </w:r>
      <w:r w:rsidRPr="00357399">
        <w:rPr>
          <w:rFonts w:ascii="Garamond" w:hAnsi="Garamond"/>
        </w:rPr>
        <w:t xml:space="preserve"> of the Social Vulnerability Index (SVI) stem not only from its conceptual </w:t>
      </w:r>
      <w:r w:rsidR="00636217">
        <w:rPr>
          <w:rFonts w:ascii="Garamond" w:hAnsi="Garamond"/>
        </w:rPr>
        <w:t>ambiguity</w:t>
      </w:r>
      <w:r w:rsidR="00CF5E17">
        <w:rPr>
          <w:rFonts w:ascii="Garamond" w:hAnsi="Garamond"/>
        </w:rPr>
        <w:t>,</w:t>
      </w:r>
      <w:r w:rsidRPr="00357399">
        <w:rPr>
          <w:rFonts w:ascii="Garamond" w:hAnsi="Garamond"/>
        </w:rPr>
        <w:t xml:space="preserve"> but also from its mechanical construction. </w:t>
      </w:r>
      <w:r w:rsidR="003B34EB">
        <w:rPr>
          <w:rFonts w:ascii="Garamond" w:hAnsi="Garamond"/>
        </w:rPr>
        <w:t>T</w:t>
      </w:r>
      <w:r w:rsidRPr="00357399">
        <w:rPr>
          <w:rFonts w:ascii="Garamond" w:hAnsi="Garamond"/>
        </w:rPr>
        <w:t xml:space="preserve">he SVI employs a rank-based, equal-weighting scheme that treats </w:t>
      </w:r>
      <w:r w:rsidR="003B34EB" w:rsidRPr="00357399">
        <w:rPr>
          <w:rFonts w:ascii="Garamond" w:hAnsi="Garamond"/>
        </w:rPr>
        <w:t>all constituent</w:t>
      </w:r>
      <w:r w:rsidRPr="00357399">
        <w:rPr>
          <w:rFonts w:ascii="Garamond" w:hAnsi="Garamond"/>
        </w:rPr>
        <w:t xml:space="preserve"> variables as equally important indicators of </w:t>
      </w:r>
      <w:r w:rsidRPr="00357399">
        <w:rPr>
          <w:rFonts w:ascii="Garamond" w:hAnsi="Garamond"/>
        </w:rPr>
        <w:lastRenderedPageBreak/>
        <w:t xml:space="preserve">“vulnerability.” Each variable is first converted to a percentile </w:t>
      </w:r>
      <w:r w:rsidR="003B34EB">
        <w:rPr>
          <w:rFonts w:ascii="Garamond" w:hAnsi="Garamond"/>
        </w:rPr>
        <w:t>and</w:t>
      </w:r>
      <w:r w:rsidRPr="00357399">
        <w:rPr>
          <w:rFonts w:ascii="Garamond" w:hAnsi="Garamond"/>
        </w:rPr>
        <w:t xml:space="preserve"> then aggregated by simple summation into four thematic subscales, which are themselves summed and re-ranked to yield an overall percentile score. This multi-stage ranking introduces non-linearity and distorts metric properties, making the resulting index ordinal rather than </w:t>
      </w:r>
      <w:r w:rsidR="00A66971" w:rsidRPr="00357399">
        <w:rPr>
          <w:rFonts w:ascii="Garamond" w:hAnsi="Garamond"/>
        </w:rPr>
        <w:t>interval scaled</w:t>
      </w:r>
      <w:r w:rsidRPr="00357399">
        <w:rPr>
          <w:rFonts w:ascii="Garamond" w:hAnsi="Garamond"/>
        </w:rPr>
        <w:t xml:space="preserve">. Differences between tracts with adjacent percentile ranks </w:t>
      </w:r>
      <w:r w:rsidR="00636217">
        <w:rPr>
          <w:rFonts w:ascii="Garamond" w:hAnsi="Garamond"/>
        </w:rPr>
        <w:t>do not necessarily</w:t>
      </w:r>
      <w:r w:rsidRPr="00357399">
        <w:rPr>
          <w:rFonts w:ascii="Garamond" w:hAnsi="Garamond"/>
        </w:rPr>
        <w:t xml:space="preserve"> correspond to consistent differences in underlying </w:t>
      </w:r>
      <w:r w:rsidR="00876B22">
        <w:rPr>
          <w:rFonts w:ascii="Garamond" w:hAnsi="Garamond"/>
        </w:rPr>
        <w:t xml:space="preserve">structural </w:t>
      </w:r>
      <w:r w:rsidRPr="00357399">
        <w:rPr>
          <w:rFonts w:ascii="Garamond" w:hAnsi="Garamond"/>
        </w:rPr>
        <w:t xml:space="preserve">conditions. </w:t>
      </w:r>
    </w:p>
    <w:p w14:paraId="61BDD6CD" w14:textId="3CDE55C6" w:rsidR="00357399" w:rsidRPr="00357399" w:rsidRDefault="00560214" w:rsidP="00C028DE">
      <w:pPr>
        <w:spacing w:after="0" w:line="480" w:lineRule="auto"/>
        <w:ind w:firstLine="720"/>
        <w:jc w:val="both"/>
        <w:rPr>
          <w:rFonts w:ascii="Garamond" w:hAnsi="Garamond"/>
        </w:rPr>
      </w:pPr>
      <w:r>
        <w:rPr>
          <w:rFonts w:ascii="Garamond" w:hAnsi="Garamond"/>
        </w:rPr>
        <w:t>By contra</w:t>
      </w:r>
      <w:r w:rsidR="0029195C">
        <w:rPr>
          <w:rFonts w:ascii="Garamond" w:hAnsi="Garamond"/>
        </w:rPr>
        <w:t>s</w:t>
      </w:r>
      <w:r>
        <w:rPr>
          <w:rFonts w:ascii="Garamond" w:hAnsi="Garamond"/>
        </w:rPr>
        <w:t xml:space="preserve">t, </w:t>
      </w:r>
      <w:r w:rsidR="0029195C">
        <w:rPr>
          <w:rFonts w:ascii="Garamond" w:hAnsi="Garamond"/>
        </w:rPr>
        <w:t xml:space="preserve">research on concentrated disadvantage typically relies on latent variable approaches such as factor analysis or principal components to construct composite measures from </w:t>
      </w:r>
      <w:r w:rsidR="006055F4">
        <w:rPr>
          <w:rFonts w:ascii="Garamond" w:hAnsi="Garamond"/>
        </w:rPr>
        <w:t>characteristics like</w:t>
      </w:r>
      <w:r w:rsidR="0029195C">
        <w:rPr>
          <w:rFonts w:ascii="Garamond" w:hAnsi="Garamond"/>
        </w:rPr>
        <w:t xml:space="preserve"> </w:t>
      </w:r>
      <w:r w:rsidR="00357399" w:rsidRPr="00357399">
        <w:rPr>
          <w:rFonts w:ascii="Garamond" w:hAnsi="Garamond"/>
        </w:rPr>
        <w:t>poverty, unemployment, and family structure</w:t>
      </w:r>
      <w:r w:rsidR="0029195C">
        <w:rPr>
          <w:rFonts w:ascii="Garamond" w:hAnsi="Garamond"/>
        </w:rPr>
        <w:t xml:space="preserve">. Rather than </w:t>
      </w:r>
      <w:r w:rsidR="00A027FB">
        <w:rPr>
          <w:rFonts w:ascii="Garamond" w:hAnsi="Garamond"/>
        </w:rPr>
        <w:t>assigning</w:t>
      </w:r>
      <w:r w:rsidR="0029195C">
        <w:rPr>
          <w:rFonts w:ascii="Garamond" w:hAnsi="Garamond"/>
        </w:rPr>
        <w:t xml:space="preserve"> equal weights across </w:t>
      </w:r>
      <w:r w:rsidR="0029195C" w:rsidRPr="0029195C">
        <w:rPr>
          <w:rFonts w:ascii="Garamond" w:hAnsi="Garamond"/>
        </w:rPr>
        <w:t>indicators, these approaches estimate weights empirically from the covariance structure of the data,</w:t>
      </w:r>
      <w:r w:rsidR="0029195C">
        <w:rPr>
          <w:rFonts w:ascii="Garamond" w:hAnsi="Garamond"/>
        </w:rPr>
        <w:t xml:space="preserve"> </w:t>
      </w:r>
      <w:r w:rsidR="0029195C" w:rsidRPr="0029195C">
        <w:rPr>
          <w:rFonts w:ascii="Garamond" w:hAnsi="Garamond"/>
        </w:rPr>
        <w:t xml:space="preserve">allowing </w:t>
      </w:r>
      <w:r w:rsidR="006F26AF">
        <w:rPr>
          <w:rFonts w:ascii="Garamond" w:hAnsi="Garamond"/>
        </w:rPr>
        <w:t>those</w:t>
      </w:r>
      <w:r w:rsidR="0029195C" w:rsidRPr="0029195C">
        <w:rPr>
          <w:rFonts w:ascii="Garamond" w:hAnsi="Garamond"/>
        </w:rPr>
        <w:t xml:space="preserve"> more strongly associated with the underlying construct to contribute more heavily to the resulting</w:t>
      </w:r>
      <w:r w:rsidR="0029195C">
        <w:rPr>
          <w:rFonts w:ascii="Garamond" w:hAnsi="Garamond"/>
        </w:rPr>
        <w:t xml:space="preserve"> </w:t>
      </w:r>
      <w:r w:rsidR="0029195C" w:rsidRPr="0029195C">
        <w:rPr>
          <w:rFonts w:ascii="Garamond" w:hAnsi="Garamond"/>
        </w:rPr>
        <w:t>measure.</w:t>
      </w:r>
      <w:r w:rsidR="0029195C">
        <w:rPr>
          <w:rFonts w:ascii="Garamond" w:hAnsi="Garamond"/>
        </w:rPr>
        <w:t xml:space="preserve"> </w:t>
      </w:r>
      <w:r w:rsidR="00357399" w:rsidRPr="00357399">
        <w:rPr>
          <w:rFonts w:ascii="Garamond" w:hAnsi="Garamond"/>
        </w:rPr>
        <w:t xml:space="preserve">The resulting factor scores preserve continuous scaling, retain the full range of variance, and are interpretable on a metric scale, where one-unit differences correspond to proportional differences in the latent dimension of </w:t>
      </w:r>
      <w:r w:rsidR="00A66971">
        <w:rPr>
          <w:rFonts w:ascii="Garamond" w:hAnsi="Garamond"/>
        </w:rPr>
        <w:t xml:space="preserve">concentrated </w:t>
      </w:r>
      <w:r w:rsidR="00357399" w:rsidRPr="00357399">
        <w:rPr>
          <w:rFonts w:ascii="Garamond" w:hAnsi="Garamond"/>
        </w:rPr>
        <w:t>disadvantage</w:t>
      </w:r>
      <w:r w:rsidR="00842C33">
        <w:rPr>
          <w:rFonts w:ascii="Garamond" w:hAnsi="Garamond" w:hint="eastAsia"/>
          <w:lang w:eastAsia="ko-KR"/>
        </w:rPr>
        <w:t xml:space="preserve"> </w:t>
      </w:r>
      <w:r w:rsidR="00842C33">
        <w:rPr>
          <w:rFonts w:ascii="Garamond" w:hAnsi="Garamond"/>
          <w:lang w:eastAsia="ko-KR"/>
        </w:rPr>
        <w:fldChar w:fldCharType="begin"/>
      </w:r>
      <w:r w:rsidR="005548B3">
        <w:rPr>
          <w:rFonts w:ascii="Garamond" w:hAnsi="Garamond"/>
          <w:lang w:eastAsia="ko-KR"/>
        </w:rPr>
        <w:instrText xml:space="preserve"> ADDIN ZOTERO_ITEM CSL_CITATION {"citationID":"51CHKIDx","properties":{"unsorted":false,"formattedCitation":"[45]","plainCitation":"[45]","noteIndex":0},"citationItems":[{"id":27492,"uris":["http://zotero.org/users/7595310/items/NBGHLT6H"],"itemData":{"id":27492,"type":"book","abstract":"Describes various commonly used methods of initial factoring and factor rotation. In addition to a full discussion of exploratory factor analysis, confirmatory factor analysis and various methods of constructing factor scales are also presented.","citation-key":"kim_1978_","ISBN":"978-0-8039-1166-6","language":"en","note":"Google-Books-ID: raQzQnbET9QC","number-of-pages":"92","publisher":"SAGE","source":"Google Books","title":"Factor analysis: Statistical methods and practical issues","title-short":"Factor analysis","author":[{"family":"Kim","given":"Jae-On"},{"family":"Mueller","given":"Charles W."}],"issued":{"date-parts":[["1978",11]]}}}],"schema":"https://github.com/citation-style-language/schema/raw/master/csl-citation.json"} </w:instrText>
      </w:r>
      <w:r w:rsidR="00842C33">
        <w:rPr>
          <w:rFonts w:ascii="Garamond" w:hAnsi="Garamond"/>
          <w:lang w:eastAsia="ko-KR"/>
        </w:rPr>
        <w:fldChar w:fldCharType="separate"/>
      </w:r>
      <w:r w:rsidR="005548B3" w:rsidRPr="005548B3">
        <w:rPr>
          <w:rFonts w:ascii="Garamond" w:hAnsi="Garamond"/>
          <w:lang w:eastAsia="ko-KR"/>
        </w:rPr>
        <w:t>[45]</w:t>
      </w:r>
      <w:r w:rsidR="00842C33">
        <w:rPr>
          <w:rFonts w:ascii="Garamond" w:hAnsi="Garamond"/>
          <w:lang w:eastAsia="ko-KR"/>
        </w:rPr>
        <w:fldChar w:fldCharType="end"/>
      </w:r>
      <w:r w:rsidR="00357399" w:rsidRPr="00357399">
        <w:rPr>
          <w:rFonts w:ascii="Garamond" w:hAnsi="Garamond"/>
        </w:rPr>
        <w:t>.</w:t>
      </w:r>
      <w:r w:rsidR="0029195C" w:rsidRPr="0029195C">
        <w:t xml:space="preserve"> </w:t>
      </w:r>
      <w:r w:rsidR="0029195C" w:rsidRPr="0029195C">
        <w:rPr>
          <w:rFonts w:ascii="Garamond" w:hAnsi="Garamond"/>
        </w:rPr>
        <w:t>Importantly, our point is not that the SVI should be reconstructed in this manner, but rather that the SVI and concentrated disadvantage indices</w:t>
      </w:r>
      <w:r w:rsidR="00EF6B4B">
        <w:rPr>
          <w:rFonts w:ascii="Garamond" w:hAnsi="Garamond"/>
        </w:rPr>
        <w:t xml:space="preserve"> </w:t>
      </w:r>
      <w:r w:rsidR="0029195C" w:rsidRPr="0029195C">
        <w:rPr>
          <w:rFonts w:ascii="Garamond" w:hAnsi="Garamond"/>
        </w:rPr>
        <w:t xml:space="preserve">are built around different measurement </w:t>
      </w:r>
      <w:r w:rsidR="0029195C">
        <w:rPr>
          <w:rFonts w:ascii="Garamond" w:hAnsi="Garamond"/>
        </w:rPr>
        <w:t>models</w:t>
      </w:r>
      <w:r w:rsidR="0029195C" w:rsidRPr="0029195C">
        <w:rPr>
          <w:rFonts w:ascii="Garamond" w:hAnsi="Garamond"/>
        </w:rPr>
        <w:t xml:space="preserve"> and </w:t>
      </w:r>
      <w:r w:rsidR="00EF6B4B">
        <w:rPr>
          <w:rFonts w:ascii="Garamond" w:hAnsi="Garamond"/>
        </w:rPr>
        <w:t xml:space="preserve">serve different </w:t>
      </w:r>
      <w:r w:rsidR="0029195C" w:rsidRPr="0029195C">
        <w:rPr>
          <w:rFonts w:ascii="Garamond" w:hAnsi="Garamond"/>
        </w:rPr>
        <w:t>substantive purposes.</w:t>
      </w:r>
    </w:p>
    <w:p w14:paraId="01961FA2" w14:textId="77777777" w:rsidR="00E62FFD" w:rsidRDefault="00E62FFD" w:rsidP="008918A0">
      <w:pPr>
        <w:spacing w:after="0" w:line="240" w:lineRule="auto"/>
        <w:jc w:val="both"/>
        <w:rPr>
          <w:rFonts w:ascii="Garamond" w:hAnsi="Garamond"/>
        </w:rPr>
      </w:pPr>
    </w:p>
    <w:p w14:paraId="2E2F5F9A" w14:textId="0925D6DB" w:rsidR="007E0DA4" w:rsidRDefault="007E0DA4" w:rsidP="00C028DE">
      <w:pPr>
        <w:spacing w:after="0" w:line="480" w:lineRule="auto"/>
        <w:jc w:val="both"/>
        <w:rPr>
          <w:rFonts w:ascii="Garamond" w:hAnsi="Garamond"/>
          <w:b/>
          <w:bCs/>
        </w:rPr>
      </w:pPr>
      <w:r w:rsidRPr="007E0DA4">
        <w:rPr>
          <w:rFonts w:ascii="Garamond" w:hAnsi="Garamond"/>
          <w:b/>
          <w:bCs/>
        </w:rPr>
        <w:t>CURRENT STUDY</w:t>
      </w:r>
    </w:p>
    <w:p w14:paraId="5E0A33D9" w14:textId="6D8D5D6A" w:rsidR="00735578" w:rsidRDefault="00971B50" w:rsidP="00735578">
      <w:pPr>
        <w:spacing w:after="0" w:line="480" w:lineRule="auto"/>
        <w:ind w:firstLine="720"/>
        <w:jc w:val="both"/>
        <w:rPr>
          <w:rFonts w:ascii="Garamond" w:hAnsi="Garamond"/>
        </w:rPr>
      </w:pPr>
      <w:r w:rsidRPr="00971B50">
        <w:rPr>
          <w:rFonts w:ascii="Garamond" w:hAnsi="Garamond"/>
        </w:rPr>
        <w:t xml:space="preserve">The conceptual ambiguity surrounding the SVI raises important empirical questions. If the index is alternately described as a measure of social vulnerability, </w:t>
      </w:r>
      <w:r w:rsidR="00C24085">
        <w:rPr>
          <w:rFonts w:ascii="Garamond" w:hAnsi="Garamond"/>
        </w:rPr>
        <w:t>economic</w:t>
      </w:r>
      <w:r w:rsidRPr="00971B50">
        <w:rPr>
          <w:rFonts w:ascii="Garamond" w:hAnsi="Garamond"/>
        </w:rPr>
        <w:t xml:space="preserve"> disadvantage, or structural racism, it is unclear which underlying construct it </w:t>
      </w:r>
      <w:proofErr w:type="gramStart"/>
      <w:r w:rsidRPr="00971B50">
        <w:rPr>
          <w:rFonts w:ascii="Garamond" w:hAnsi="Garamond"/>
        </w:rPr>
        <w:t>actually captures</w:t>
      </w:r>
      <w:proofErr w:type="gramEnd"/>
      <w:r w:rsidR="00DA0239">
        <w:rPr>
          <w:rFonts w:ascii="Garamond" w:hAnsi="Garamond"/>
        </w:rPr>
        <w:t xml:space="preserve">, </w:t>
      </w:r>
      <w:r w:rsidRPr="00971B50">
        <w:rPr>
          <w:rFonts w:ascii="Garamond" w:hAnsi="Garamond"/>
        </w:rPr>
        <w:t>or whether it meaningfully improves upon long-established indicators of concentrated socioeconomic disadvantage</w:t>
      </w:r>
      <w:r w:rsidR="00A66971">
        <w:rPr>
          <w:rFonts w:ascii="Garamond" w:hAnsi="Garamond"/>
        </w:rPr>
        <w:t xml:space="preserve"> commonplace in social science research on </w:t>
      </w:r>
      <w:r w:rsidR="00D120B0">
        <w:rPr>
          <w:rFonts w:ascii="Garamond" w:hAnsi="Garamond"/>
        </w:rPr>
        <w:t>community</w:t>
      </w:r>
      <w:r w:rsidR="00A66971">
        <w:rPr>
          <w:rFonts w:ascii="Garamond" w:hAnsi="Garamond"/>
        </w:rPr>
        <w:t xml:space="preserve"> violence</w:t>
      </w:r>
      <w:r w:rsidRPr="00971B50">
        <w:rPr>
          <w:rFonts w:ascii="Garamond" w:hAnsi="Garamond"/>
        </w:rPr>
        <w:t xml:space="preserve">. </w:t>
      </w:r>
      <w:r w:rsidR="00735578">
        <w:rPr>
          <w:rFonts w:ascii="Garamond" w:hAnsi="Garamond"/>
        </w:rPr>
        <w:t>To be clear, the SVI</w:t>
      </w:r>
      <w:r w:rsidR="00735578" w:rsidRPr="00735578">
        <w:rPr>
          <w:rFonts w:ascii="Garamond" w:hAnsi="Garamond"/>
        </w:rPr>
        <w:t xml:space="preserve"> was originally developed to assess community vulnerability to external shocks and therefore incorporates a broad </w:t>
      </w:r>
      <w:r w:rsidR="00735578" w:rsidRPr="00735578">
        <w:rPr>
          <w:rFonts w:ascii="Garamond" w:hAnsi="Garamond"/>
        </w:rPr>
        <w:lastRenderedPageBreak/>
        <w:t>set of indicators</w:t>
      </w:r>
      <w:r w:rsidR="00735578">
        <w:rPr>
          <w:rFonts w:ascii="Garamond" w:hAnsi="Garamond"/>
        </w:rPr>
        <w:t xml:space="preserve"> </w:t>
      </w:r>
      <w:r w:rsidR="00735578" w:rsidRPr="00735578">
        <w:rPr>
          <w:rFonts w:ascii="Garamond" w:hAnsi="Garamond"/>
        </w:rPr>
        <w:t>that do not map neatly on</w:t>
      </w:r>
      <w:r w:rsidR="00735578">
        <w:rPr>
          <w:rFonts w:ascii="Garamond" w:hAnsi="Garamond"/>
        </w:rPr>
        <w:t xml:space="preserve"> </w:t>
      </w:r>
      <w:r w:rsidR="00735578" w:rsidRPr="00735578">
        <w:rPr>
          <w:rFonts w:ascii="Garamond" w:hAnsi="Garamond"/>
        </w:rPr>
        <w:t xml:space="preserve">to the concept of concentrated disadvantage as is typically </w:t>
      </w:r>
      <w:r w:rsidR="00735578">
        <w:rPr>
          <w:rFonts w:ascii="Garamond" w:hAnsi="Garamond"/>
        </w:rPr>
        <w:t>used</w:t>
      </w:r>
      <w:r w:rsidR="00735578" w:rsidRPr="00735578">
        <w:rPr>
          <w:rFonts w:ascii="Garamond" w:hAnsi="Garamond"/>
        </w:rPr>
        <w:t xml:space="preserve"> </w:t>
      </w:r>
      <w:r w:rsidR="00735578">
        <w:rPr>
          <w:rFonts w:ascii="Garamond" w:hAnsi="Garamond"/>
        </w:rPr>
        <w:t>in prevailing social science applications.</w:t>
      </w:r>
      <w:r w:rsidR="00735578" w:rsidRPr="00735578">
        <w:rPr>
          <w:rFonts w:ascii="Garamond" w:hAnsi="Garamond"/>
        </w:rPr>
        <w:t xml:space="preserve"> As such, the present study does not assume that the SVI and concentrated disadvantage are equivalent constructs. Rather, we evaluate the extent to which the SVI overlaps with, diverges from, or reproduces the empirical patterns captured by more theoretically grounded measures of concentrated socioeconomic disadvantage in research on community violence.</w:t>
      </w:r>
      <w:r w:rsidR="00735578">
        <w:rPr>
          <w:rFonts w:ascii="Garamond" w:hAnsi="Garamond"/>
        </w:rPr>
        <w:t xml:space="preserve"> </w:t>
      </w:r>
    </w:p>
    <w:p w14:paraId="19A44FC1" w14:textId="0DD248C1" w:rsidR="00C23B06" w:rsidRPr="00C23B06" w:rsidRDefault="00971B50" w:rsidP="002004B0">
      <w:pPr>
        <w:spacing w:after="0" w:line="480" w:lineRule="auto"/>
        <w:ind w:firstLine="720"/>
        <w:jc w:val="both"/>
        <w:rPr>
          <w:rFonts w:ascii="Garamond" w:hAnsi="Garamond"/>
        </w:rPr>
      </w:pPr>
      <w:r w:rsidRPr="00971B50">
        <w:rPr>
          <w:rFonts w:ascii="Garamond" w:hAnsi="Garamond"/>
        </w:rPr>
        <w:t xml:space="preserve">Using the CDC’s publicly available SVI data and tract-level firearm </w:t>
      </w:r>
      <w:r w:rsidR="00601333">
        <w:rPr>
          <w:rFonts w:ascii="Garamond" w:hAnsi="Garamond"/>
        </w:rPr>
        <w:t>homicide</w:t>
      </w:r>
      <w:r w:rsidRPr="00971B50">
        <w:rPr>
          <w:rFonts w:ascii="Garamond" w:hAnsi="Garamond"/>
        </w:rPr>
        <w:t xml:space="preserve"> rates from the American Violence Project</w:t>
      </w:r>
      <w:r w:rsidR="009D363F">
        <w:rPr>
          <w:rFonts w:ascii="Garamond" w:hAnsi="Garamond" w:hint="eastAsia"/>
          <w:lang w:eastAsia="ko-KR"/>
        </w:rPr>
        <w:t xml:space="preserve"> </w:t>
      </w:r>
      <w:r w:rsidR="009D363F">
        <w:rPr>
          <w:rFonts w:ascii="Garamond" w:hAnsi="Garamond"/>
          <w:lang w:eastAsia="ko-KR"/>
        </w:rPr>
        <w:fldChar w:fldCharType="begin"/>
      </w:r>
      <w:r w:rsidR="005548B3">
        <w:rPr>
          <w:rFonts w:ascii="Garamond" w:hAnsi="Garamond"/>
          <w:lang w:eastAsia="ko-KR"/>
        </w:rPr>
        <w:instrText xml:space="preserve"> ADDIN ZOTERO_ITEM CSL_CITATION {"citationID":"0m7YZhbW","properties":{"unsorted":false,"formattedCitation":"[46]","plainCitation":"[46]","noteIndex":0},"citationItems":[{"id":27502,"uris":["http://zotero.org/users/7595310/items/MWHFXSGP"],"itemData":{"id":27502,"type":"webpage","abstract":"A resource that makes data on violence accessible to public officials, journalists, researchers, and the public at large, allowing users to visualize and analyze trends in violence at multiple geographic levels and over different timeframes across more than 80 of the largest 100 U.S. cities.","citation-key":"__hn","language":"en","title":"American Violence","URL":"https://www.americanviolence.org/","author":[{"family":"Sharkey","given":"Patrick"}],"accessed":{"date-parts":[["2026",6,3]]}}}],"schema":"https://github.com/citation-style-language/schema/raw/master/csl-citation.json"} </w:instrText>
      </w:r>
      <w:r w:rsidR="009D363F">
        <w:rPr>
          <w:rFonts w:ascii="Garamond" w:hAnsi="Garamond"/>
          <w:lang w:eastAsia="ko-KR"/>
        </w:rPr>
        <w:fldChar w:fldCharType="separate"/>
      </w:r>
      <w:r w:rsidR="005548B3" w:rsidRPr="005548B3">
        <w:rPr>
          <w:rFonts w:ascii="Garamond" w:hAnsi="Garamond"/>
          <w:lang w:eastAsia="ko-KR"/>
        </w:rPr>
        <w:t>[46]</w:t>
      </w:r>
      <w:r w:rsidR="009D363F">
        <w:rPr>
          <w:rFonts w:ascii="Garamond" w:hAnsi="Garamond"/>
          <w:lang w:eastAsia="ko-KR"/>
        </w:rPr>
        <w:fldChar w:fldCharType="end"/>
      </w:r>
      <w:r w:rsidRPr="00971B50">
        <w:rPr>
          <w:rFonts w:ascii="Garamond" w:hAnsi="Garamond"/>
        </w:rPr>
        <w:t>, we examine three</w:t>
      </w:r>
      <w:r w:rsidR="00A66971">
        <w:rPr>
          <w:rFonts w:ascii="Garamond" w:hAnsi="Garamond"/>
        </w:rPr>
        <w:t xml:space="preserve"> related</w:t>
      </w:r>
      <w:r w:rsidRPr="00971B50">
        <w:rPr>
          <w:rFonts w:ascii="Garamond" w:hAnsi="Garamond"/>
        </w:rPr>
        <w:t xml:space="preserve"> questions: (1) </w:t>
      </w:r>
      <w:r w:rsidR="00CF5E17">
        <w:rPr>
          <w:rFonts w:ascii="Garamond" w:hAnsi="Garamond"/>
        </w:rPr>
        <w:t>do</w:t>
      </w:r>
      <w:r w:rsidRPr="00971B50">
        <w:rPr>
          <w:rFonts w:ascii="Garamond" w:hAnsi="Garamond"/>
        </w:rPr>
        <w:t xml:space="preserve"> the</w:t>
      </w:r>
      <w:r w:rsidR="00D120B0">
        <w:rPr>
          <w:rFonts w:ascii="Garamond" w:hAnsi="Garamond"/>
        </w:rPr>
        <w:t xml:space="preserve"> overall index and</w:t>
      </w:r>
      <w:r w:rsidRPr="00971B50">
        <w:rPr>
          <w:rFonts w:ascii="Garamond" w:hAnsi="Garamond"/>
        </w:rPr>
        <w:t xml:space="preserve"> four thematic subscales of the SVI represent coherent and internally consistent dimensions of vulnerability</w:t>
      </w:r>
      <w:r w:rsidR="00CF5E17">
        <w:rPr>
          <w:rFonts w:ascii="Garamond" w:hAnsi="Garamond"/>
        </w:rPr>
        <w:t>?</w:t>
      </w:r>
      <w:r w:rsidRPr="00971B50">
        <w:rPr>
          <w:rFonts w:ascii="Garamond" w:hAnsi="Garamond"/>
        </w:rPr>
        <w:t xml:space="preserve">; (2) how </w:t>
      </w:r>
      <w:r w:rsidR="00CF5E17">
        <w:rPr>
          <w:rFonts w:ascii="Garamond" w:hAnsi="Garamond"/>
        </w:rPr>
        <w:t xml:space="preserve">well do </w:t>
      </w:r>
      <w:r w:rsidRPr="00971B50">
        <w:rPr>
          <w:rFonts w:ascii="Garamond" w:hAnsi="Garamond"/>
        </w:rPr>
        <w:t xml:space="preserve">the overall </w:t>
      </w:r>
      <w:r w:rsidR="00A66971">
        <w:rPr>
          <w:rFonts w:ascii="Garamond" w:hAnsi="Garamond"/>
        </w:rPr>
        <w:t xml:space="preserve">SVI </w:t>
      </w:r>
      <w:r w:rsidRPr="00971B50">
        <w:rPr>
          <w:rFonts w:ascii="Garamond" w:hAnsi="Garamond"/>
        </w:rPr>
        <w:t xml:space="preserve">and its subthemes perform as predictors of </w:t>
      </w:r>
      <w:r w:rsidR="00E448FB">
        <w:rPr>
          <w:rFonts w:ascii="Garamond" w:hAnsi="Garamond"/>
        </w:rPr>
        <w:t xml:space="preserve">tract-level </w:t>
      </w:r>
      <w:r w:rsidRPr="00971B50">
        <w:rPr>
          <w:rFonts w:ascii="Garamond" w:hAnsi="Garamond"/>
        </w:rPr>
        <w:t>firearm violence</w:t>
      </w:r>
      <w:r w:rsidR="00CF5E17">
        <w:rPr>
          <w:rFonts w:ascii="Garamond" w:hAnsi="Garamond"/>
        </w:rPr>
        <w:t>?</w:t>
      </w:r>
      <w:r w:rsidRPr="00971B50">
        <w:rPr>
          <w:rFonts w:ascii="Garamond" w:hAnsi="Garamond"/>
        </w:rPr>
        <w:t xml:space="preserve">; and (3) how </w:t>
      </w:r>
      <w:r w:rsidR="00CF5E17">
        <w:rPr>
          <w:rFonts w:ascii="Garamond" w:hAnsi="Garamond"/>
        </w:rPr>
        <w:t>do t</w:t>
      </w:r>
      <w:r w:rsidRPr="00971B50">
        <w:rPr>
          <w:rFonts w:ascii="Garamond" w:hAnsi="Garamond"/>
        </w:rPr>
        <w:t>he SVI and its domains compare to a</w:t>
      </w:r>
      <w:r w:rsidR="005B40B7">
        <w:rPr>
          <w:rFonts w:ascii="Garamond" w:hAnsi="Garamond"/>
        </w:rPr>
        <w:t xml:space="preserve"> more</w:t>
      </w:r>
      <w:r w:rsidRPr="00971B50">
        <w:rPr>
          <w:rFonts w:ascii="Garamond" w:hAnsi="Garamond"/>
        </w:rPr>
        <w:t xml:space="preserve"> theoretically grounded index of concentrated disadvantage</w:t>
      </w:r>
      <w:r w:rsidR="00944A58">
        <w:rPr>
          <w:rFonts w:ascii="Garamond" w:hAnsi="Garamond"/>
        </w:rPr>
        <w:t xml:space="preserve"> (CDI)</w:t>
      </w:r>
      <w:r w:rsidRPr="00971B50">
        <w:rPr>
          <w:rFonts w:ascii="Garamond" w:hAnsi="Garamond"/>
        </w:rPr>
        <w:t xml:space="preserve"> that has long </w:t>
      </w:r>
      <w:r w:rsidRPr="002E210B">
        <w:rPr>
          <w:rFonts w:ascii="Garamond" w:hAnsi="Garamond"/>
        </w:rPr>
        <w:t xml:space="preserve">served as the benchmark measure of socioeconomic inequality in </w:t>
      </w:r>
      <w:r w:rsidR="003B34EB" w:rsidRPr="002E210B">
        <w:rPr>
          <w:rFonts w:ascii="Garamond" w:hAnsi="Garamond"/>
        </w:rPr>
        <w:t>social science</w:t>
      </w:r>
      <w:r w:rsidRPr="002E210B">
        <w:rPr>
          <w:rFonts w:ascii="Garamond" w:hAnsi="Garamond"/>
        </w:rPr>
        <w:t xml:space="preserve"> research</w:t>
      </w:r>
      <w:r w:rsidR="00CF5E17" w:rsidRPr="002E210B">
        <w:rPr>
          <w:rFonts w:ascii="Garamond" w:hAnsi="Garamond"/>
        </w:rPr>
        <w:t>?</w:t>
      </w:r>
      <w:r w:rsidRPr="002E210B">
        <w:rPr>
          <w:rFonts w:ascii="Garamond" w:hAnsi="Garamond"/>
        </w:rPr>
        <w:t xml:space="preserve"> </w:t>
      </w:r>
      <w:r w:rsidR="002004B0" w:rsidRPr="00C23B06">
        <w:rPr>
          <w:rFonts w:ascii="Garamond" w:hAnsi="Garamond"/>
        </w:rPr>
        <w:t>Accordingly, we advance three related hypotheses</w:t>
      </w:r>
      <w:r w:rsidR="002004B0">
        <w:rPr>
          <w:rFonts w:ascii="Garamond" w:hAnsi="Garamond"/>
        </w:rPr>
        <w:t>:</w:t>
      </w:r>
    </w:p>
    <w:p w14:paraId="363A7137" w14:textId="77777777" w:rsidR="002004B0" w:rsidRPr="00306F4C" w:rsidRDefault="002004B0" w:rsidP="001A304C">
      <w:pPr>
        <w:spacing w:after="0" w:line="360" w:lineRule="auto"/>
        <w:ind w:firstLine="720"/>
        <w:jc w:val="both"/>
        <w:rPr>
          <w:rFonts w:ascii="Garamond" w:hAnsi="Garamond"/>
        </w:rPr>
      </w:pPr>
      <w:r w:rsidRPr="00306F4C">
        <w:rPr>
          <w:rFonts w:ascii="Garamond" w:hAnsi="Garamond"/>
          <w:b/>
          <w:bCs/>
        </w:rPr>
        <w:t>Hypothesis 1 (Internal consistency)</w:t>
      </w:r>
      <w:r w:rsidRPr="00306F4C">
        <w:rPr>
          <w:rFonts w:ascii="Garamond" w:hAnsi="Garamond"/>
        </w:rPr>
        <w:t xml:space="preserve">: The CDI will exhibit a stronger and more coherent </w:t>
      </w:r>
      <w:r>
        <w:rPr>
          <w:rFonts w:ascii="Garamond" w:hAnsi="Garamond"/>
        </w:rPr>
        <w:tab/>
      </w:r>
      <w:r w:rsidRPr="00306F4C">
        <w:rPr>
          <w:rFonts w:ascii="Garamond" w:hAnsi="Garamond"/>
        </w:rPr>
        <w:t xml:space="preserve">internal structure than the SVI, whose broader and more heterogeneous composition may </w:t>
      </w:r>
      <w:r>
        <w:rPr>
          <w:rFonts w:ascii="Garamond" w:hAnsi="Garamond"/>
        </w:rPr>
        <w:tab/>
      </w:r>
      <w:r w:rsidRPr="00306F4C">
        <w:rPr>
          <w:rFonts w:ascii="Garamond" w:hAnsi="Garamond"/>
        </w:rPr>
        <w:t>reduce internal consistency.</w:t>
      </w:r>
    </w:p>
    <w:p w14:paraId="7B160B44" w14:textId="301F661A" w:rsidR="002004B0" w:rsidRPr="00306F4C" w:rsidRDefault="002004B0" w:rsidP="001A304C">
      <w:pPr>
        <w:spacing w:after="0" w:line="360" w:lineRule="auto"/>
        <w:ind w:firstLine="720"/>
        <w:jc w:val="both"/>
        <w:rPr>
          <w:rFonts w:ascii="Garamond" w:hAnsi="Garamond"/>
        </w:rPr>
      </w:pPr>
      <w:r w:rsidRPr="00306F4C">
        <w:rPr>
          <w:rFonts w:ascii="Garamond" w:hAnsi="Garamond"/>
          <w:b/>
          <w:bCs/>
        </w:rPr>
        <w:t>Hypothesis 2 (Construct alignment)</w:t>
      </w:r>
      <w:r w:rsidRPr="00306F4C">
        <w:rPr>
          <w:rFonts w:ascii="Garamond" w:hAnsi="Garamond"/>
        </w:rPr>
        <w:t>: The CDI will exhibit stronger and more consistent</w:t>
      </w:r>
      <w:r>
        <w:rPr>
          <w:rFonts w:ascii="Garamond" w:hAnsi="Garamond"/>
        </w:rPr>
        <w:tab/>
      </w:r>
      <w:r>
        <w:rPr>
          <w:rFonts w:ascii="Garamond" w:hAnsi="Garamond"/>
        </w:rPr>
        <w:tab/>
      </w:r>
      <w:r w:rsidRPr="00306F4C">
        <w:rPr>
          <w:rFonts w:ascii="Garamond" w:hAnsi="Garamond"/>
        </w:rPr>
        <w:t xml:space="preserve"> associations with firearm violence than the SVI, reflecting its closer alignment with theoretical</w:t>
      </w:r>
      <w:r>
        <w:rPr>
          <w:rFonts w:ascii="Garamond" w:hAnsi="Garamond"/>
        </w:rPr>
        <w:tab/>
      </w:r>
      <w:r w:rsidRPr="00306F4C">
        <w:rPr>
          <w:rFonts w:ascii="Garamond" w:hAnsi="Garamond"/>
        </w:rPr>
        <w:t xml:space="preserve"> accounts of structural disadvantage </w:t>
      </w:r>
      <w:r w:rsidR="00A027FB">
        <w:rPr>
          <w:rFonts w:ascii="Garamond" w:hAnsi="Garamond"/>
        </w:rPr>
        <w:t xml:space="preserve">commonplace </w:t>
      </w:r>
      <w:r w:rsidRPr="00306F4C">
        <w:rPr>
          <w:rFonts w:ascii="Garamond" w:hAnsi="Garamond"/>
        </w:rPr>
        <w:t>in criminology.</w:t>
      </w:r>
    </w:p>
    <w:p w14:paraId="17BB2A10" w14:textId="77777777" w:rsidR="002004B0" w:rsidRPr="00306F4C" w:rsidRDefault="002004B0" w:rsidP="001A304C">
      <w:pPr>
        <w:spacing w:after="0" w:line="360" w:lineRule="auto"/>
        <w:ind w:firstLine="720"/>
        <w:jc w:val="both"/>
        <w:rPr>
          <w:rFonts w:ascii="Garamond" w:hAnsi="Garamond"/>
        </w:rPr>
      </w:pPr>
      <w:r w:rsidRPr="00306F4C">
        <w:rPr>
          <w:rFonts w:ascii="Garamond" w:hAnsi="Garamond"/>
          <w:b/>
          <w:bCs/>
        </w:rPr>
        <w:t>Hypothesis 3 (Model fit)</w:t>
      </w:r>
      <w:r w:rsidRPr="00306F4C">
        <w:rPr>
          <w:rFonts w:ascii="Garamond" w:hAnsi="Garamond"/>
        </w:rPr>
        <w:t xml:space="preserve">: Models incorporating the CDI will demonstrate better overall fit </w:t>
      </w:r>
      <w:r>
        <w:rPr>
          <w:rFonts w:ascii="Garamond" w:hAnsi="Garamond"/>
        </w:rPr>
        <w:tab/>
      </w:r>
      <w:r w:rsidRPr="00306F4C">
        <w:rPr>
          <w:rFonts w:ascii="Garamond" w:hAnsi="Garamond"/>
        </w:rPr>
        <w:t>than those using the SVI, as assessed by standard model fit statistics (AIC, BIC, R²).</w:t>
      </w:r>
    </w:p>
    <w:p w14:paraId="3F1C61CA" w14:textId="77777777" w:rsidR="00971B50" w:rsidRPr="007E0DA4" w:rsidRDefault="00971B50" w:rsidP="00C028DE">
      <w:pPr>
        <w:spacing w:after="0" w:line="480" w:lineRule="auto"/>
        <w:ind w:firstLine="720"/>
        <w:jc w:val="both"/>
        <w:rPr>
          <w:rFonts w:ascii="Garamond" w:hAnsi="Garamond"/>
        </w:rPr>
      </w:pPr>
    </w:p>
    <w:p w14:paraId="365E2624" w14:textId="2509F226" w:rsidR="00FF6E5B" w:rsidRPr="00FF6E5B" w:rsidRDefault="00FF6E5B" w:rsidP="00C028DE">
      <w:pPr>
        <w:spacing w:after="0" w:line="480" w:lineRule="auto"/>
        <w:jc w:val="both"/>
        <w:rPr>
          <w:rFonts w:ascii="Garamond" w:hAnsi="Garamond"/>
          <w:b/>
          <w:bCs/>
        </w:rPr>
      </w:pPr>
      <w:r w:rsidRPr="00FF6E5B">
        <w:rPr>
          <w:rFonts w:ascii="Garamond" w:hAnsi="Garamond"/>
          <w:b/>
          <w:bCs/>
        </w:rPr>
        <w:t>METHODS</w:t>
      </w:r>
    </w:p>
    <w:p w14:paraId="54EA0B6B" w14:textId="35017026" w:rsidR="00FF6E5B" w:rsidRPr="00FF6E5B" w:rsidRDefault="00FF6E5B" w:rsidP="00C028DE">
      <w:pPr>
        <w:spacing w:after="0" w:line="480" w:lineRule="auto"/>
        <w:jc w:val="both"/>
        <w:rPr>
          <w:rFonts w:ascii="Garamond" w:hAnsi="Garamond"/>
          <w:b/>
          <w:bCs/>
        </w:rPr>
      </w:pPr>
      <w:r w:rsidRPr="00FF6E5B">
        <w:rPr>
          <w:rFonts w:ascii="Garamond" w:hAnsi="Garamond"/>
          <w:b/>
          <w:bCs/>
        </w:rPr>
        <w:t xml:space="preserve">Data </w:t>
      </w:r>
    </w:p>
    <w:p w14:paraId="31C4E7A1" w14:textId="02995848" w:rsidR="00FF6E5B" w:rsidRPr="00FF6E5B" w:rsidRDefault="007E553B" w:rsidP="00C028DE">
      <w:pPr>
        <w:spacing w:after="0" w:line="480" w:lineRule="auto"/>
        <w:ind w:firstLine="720"/>
        <w:jc w:val="both"/>
        <w:rPr>
          <w:rFonts w:ascii="Garamond" w:hAnsi="Garamond"/>
        </w:rPr>
      </w:pPr>
      <w:r>
        <w:rPr>
          <w:rFonts w:ascii="Garamond" w:hAnsi="Garamond"/>
        </w:rPr>
        <w:t>Our a</w:t>
      </w:r>
      <w:r w:rsidR="00FF6E5B" w:rsidRPr="00FF6E5B">
        <w:rPr>
          <w:rFonts w:ascii="Garamond" w:hAnsi="Garamond"/>
        </w:rPr>
        <w:t xml:space="preserve">nalyses draw on tract-level data from </w:t>
      </w:r>
      <w:r w:rsidR="00CF5E17">
        <w:rPr>
          <w:rFonts w:ascii="Garamond" w:hAnsi="Garamond"/>
        </w:rPr>
        <w:t>three</w:t>
      </w:r>
      <w:r w:rsidR="00FF6E5B" w:rsidRPr="00FF6E5B">
        <w:rPr>
          <w:rFonts w:ascii="Garamond" w:hAnsi="Garamond"/>
        </w:rPr>
        <w:t xml:space="preserve"> sources: the CDC’s Social Vulnerability Index</w:t>
      </w:r>
      <w:r w:rsidR="00C92B73">
        <w:rPr>
          <w:rFonts w:ascii="Garamond" w:hAnsi="Garamond"/>
        </w:rPr>
        <w:t xml:space="preserve"> (2020)</w:t>
      </w:r>
      <w:r w:rsidR="00CF5E17">
        <w:rPr>
          <w:rFonts w:ascii="Garamond" w:hAnsi="Garamond"/>
        </w:rPr>
        <w:t>, the American Community Survey (ACS</w:t>
      </w:r>
      <w:r w:rsidR="00F874DF">
        <w:rPr>
          <w:rFonts w:ascii="Garamond" w:hAnsi="Garamond"/>
        </w:rPr>
        <w:t xml:space="preserve">), </w:t>
      </w:r>
      <w:r w:rsidR="00F874DF" w:rsidRPr="00FF6E5B">
        <w:rPr>
          <w:rFonts w:ascii="Garamond" w:hAnsi="Garamond"/>
        </w:rPr>
        <w:t>and</w:t>
      </w:r>
      <w:r w:rsidR="00FF6E5B" w:rsidRPr="00FF6E5B">
        <w:rPr>
          <w:rFonts w:ascii="Garamond" w:hAnsi="Garamond"/>
        </w:rPr>
        <w:t xml:space="preserve"> the American Violence Project</w:t>
      </w:r>
      <w:r>
        <w:rPr>
          <w:rFonts w:ascii="Garamond" w:hAnsi="Garamond"/>
        </w:rPr>
        <w:t xml:space="preserve">. </w:t>
      </w:r>
      <w:r w:rsidR="00FF6E5B" w:rsidRPr="00FF6E5B">
        <w:rPr>
          <w:rFonts w:ascii="Garamond" w:hAnsi="Garamond"/>
        </w:rPr>
        <w:t xml:space="preserve">The </w:t>
      </w:r>
      <w:r w:rsidR="00DD6552">
        <w:rPr>
          <w:rFonts w:ascii="Garamond" w:hAnsi="Garamond"/>
        </w:rPr>
        <w:t>CDC</w:t>
      </w:r>
      <w:r w:rsidR="00FF6E5B" w:rsidRPr="00FF6E5B">
        <w:rPr>
          <w:rFonts w:ascii="Garamond" w:hAnsi="Garamond"/>
        </w:rPr>
        <w:t xml:space="preserve"> </w:t>
      </w:r>
      <w:r w:rsidR="00FF6E5B" w:rsidRPr="00FF6E5B">
        <w:rPr>
          <w:rFonts w:ascii="Garamond" w:hAnsi="Garamond"/>
        </w:rPr>
        <w:lastRenderedPageBreak/>
        <w:t>provides measure</w:t>
      </w:r>
      <w:r>
        <w:rPr>
          <w:rFonts w:ascii="Garamond" w:hAnsi="Garamond"/>
        </w:rPr>
        <w:t>s</w:t>
      </w:r>
      <w:r w:rsidR="00FF6E5B" w:rsidRPr="00FF6E5B">
        <w:rPr>
          <w:rFonts w:ascii="Garamond" w:hAnsi="Garamond"/>
        </w:rPr>
        <w:t xml:space="preserve"> of social vulnerability based on </w:t>
      </w:r>
      <w:r>
        <w:rPr>
          <w:rFonts w:ascii="Garamond" w:hAnsi="Garamond"/>
        </w:rPr>
        <w:t xml:space="preserve">the </w:t>
      </w:r>
      <w:proofErr w:type="gramStart"/>
      <w:r>
        <w:rPr>
          <w:rFonts w:ascii="Garamond" w:hAnsi="Garamond"/>
        </w:rPr>
        <w:t>aforementioned sixteen</w:t>
      </w:r>
      <w:proofErr w:type="gramEnd"/>
      <w:r>
        <w:rPr>
          <w:rFonts w:ascii="Garamond" w:hAnsi="Garamond"/>
        </w:rPr>
        <w:t xml:space="preserve"> variable</w:t>
      </w:r>
      <w:r w:rsidR="003A154C">
        <w:rPr>
          <w:rFonts w:ascii="Garamond" w:hAnsi="Garamond"/>
        </w:rPr>
        <w:t>s</w:t>
      </w:r>
      <w:r>
        <w:rPr>
          <w:rFonts w:ascii="Garamond" w:hAnsi="Garamond"/>
        </w:rPr>
        <w:t>, four subscales, and the composite scale</w:t>
      </w:r>
      <w:r w:rsidR="00FF6E5B" w:rsidRPr="00FF6E5B">
        <w:rPr>
          <w:rFonts w:ascii="Garamond" w:hAnsi="Garamond"/>
        </w:rPr>
        <w:t xml:space="preserve">. </w:t>
      </w:r>
      <w:r w:rsidR="00CF5E17">
        <w:rPr>
          <w:rFonts w:ascii="Garamond" w:hAnsi="Garamond"/>
        </w:rPr>
        <w:t xml:space="preserve">The ACS provides the requisite data for the construction of our index of concentrated disadvantage. </w:t>
      </w:r>
      <w:r w:rsidR="00FF6E5B" w:rsidRPr="00FF6E5B">
        <w:rPr>
          <w:rFonts w:ascii="Garamond" w:hAnsi="Garamond"/>
        </w:rPr>
        <w:t xml:space="preserve">The </w:t>
      </w:r>
      <w:r w:rsidR="00FF6E5B" w:rsidRPr="00FF6E5B">
        <w:rPr>
          <w:rFonts w:ascii="Garamond" w:hAnsi="Garamond"/>
          <w:i/>
          <w:iCs/>
        </w:rPr>
        <w:t>American Violence Project</w:t>
      </w:r>
      <w:r w:rsidR="00FF6E5B" w:rsidRPr="00FF6E5B">
        <w:rPr>
          <w:rFonts w:ascii="Garamond" w:hAnsi="Garamond"/>
        </w:rPr>
        <w:t xml:space="preserve"> compiles verified counts of firearm </w:t>
      </w:r>
      <w:r w:rsidR="00F76A38">
        <w:rPr>
          <w:rFonts w:ascii="Garamond" w:hAnsi="Garamond"/>
        </w:rPr>
        <w:t>homicides</w:t>
      </w:r>
      <w:r w:rsidR="00FF6E5B" w:rsidRPr="00FF6E5B">
        <w:rPr>
          <w:rFonts w:ascii="Garamond" w:hAnsi="Garamond"/>
        </w:rPr>
        <w:t>, aggregated from incident-level data collected by local law enforcement agencies, open data portals, and public records requests</w:t>
      </w:r>
      <w:r w:rsidR="00916568">
        <w:rPr>
          <w:rFonts w:ascii="Garamond" w:hAnsi="Garamond"/>
        </w:rPr>
        <w:t xml:space="preserve"> </w:t>
      </w:r>
      <w:r w:rsidR="009F393A">
        <w:rPr>
          <w:rFonts w:ascii="Garamond" w:hAnsi="Garamond"/>
          <w:lang w:eastAsia="ko-KR"/>
        </w:rPr>
        <w:fldChar w:fldCharType="begin"/>
      </w:r>
      <w:r w:rsidR="005548B3">
        <w:rPr>
          <w:rFonts w:ascii="Garamond" w:hAnsi="Garamond"/>
          <w:lang w:eastAsia="ko-KR"/>
        </w:rPr>
        <w:instrText xml:space="preserve"> ADDIN ZOTERO_ITEM CSL_CITATION {"citationID":"GaA7iamk","properties":{"unsorted":false,"formattedCitation":"[46]","plainCitation":"[46]","noteIndex":0},"citationItems":[{"id":27502,"uris":["http://zotero.org/users/7595310/items/MWHFXSGP"],"itemData":{"id":27502,"type":"webpage","abstract":"A resource that makes data on violence accessible to public officials, journalists, researchers, and the public at large, allowing users to visualize and analyze trends in violence at multiple geographic levels and over different timeframes across more than 80 of the largest 100 U.S. cities.","citation-key":"__hn","language":"en","title":"American Violence","URL":"https://www.americanviolence.org/","author":[{"family":"Sharkey","given":"Patrick"}],"accessed":{"date-parts":[["2026",6,3]]}}}],"schema":"https://github.com/citation-style-language/schema/raw/master/csl-citation.json"} </w:instrText>
      </w:r>
      <w:r w:rsidR="009F393A">
        <w:rPr>
          <w:rFonts w:ascii="Garamond" w:hAnsi="Garamond"/>
          <w:lang w:eastAsia="ko-KR"/>
        </w:rPr>
        <w:fldChar w:fldCharType="separate"/>
      </w:r>
      <w:r w:rsidR="005548B3" w:rsidRPr="005548B3">
        <w:rPr>
          <w:rFonts w:ascii="Garamond" w:hAnsi="Garamond"/>
          <w:lang w:eastAsia="ko-KR"/>
        </w:rPr>
        <w:t>[46]</w:t>
      </w:r>
      <w:r w:rsidR="009F393A">
        <w:rPr>
          <w:rFonts w:ascii="Garamond" w:hAnsi="Garamond"/>
          <w:lang w:eastAsia="ko-KR"/>
        </w:rPr>
        <w:fldChar w:fldCharType="end"/>
      </w:r>
      <w:r w:rsidR="00FF6E5B" w:rsidRPr="00FF6E5B">
        <w:rPr>
          <w:rFonts w:ascii="Garamond" w:hAnsi="Garamond"/>
        </w:rPr>
        <w:t xml:space="preserve">. For the present study, we pooled data across </w:t>
      </w:r>
      <w:r w:rsidR="001E6A01">
        <w:rPr>
          <w:rFonts w:ascii="Garamond" w:hAnsi="Garamond"/>
        </w:rPr>
        <w:t>84</w:t>
      </w:r>
      <w:r w:rsidR="001E6A01" w:rsidRPr="00FF6E5B">
        <w:rPr>
          <w:rFonts w:ascii="Garamond" w:hAnsi="Garamond"/>
        </w:rPr>
        <w:t xml:space="preserve"> </w:t>
      </w:r>
      <w:r w:rsidR="00FF6E5B" w:rsidRPr="00FF6E5B">
        <w:rPr>
          <w:rFonts w:ascii="Garamond" w:hAnsi="Garamond"/>
        </w:rPr>
        <w:t xml:space="preserve">large U.S. cities for the years </w:t>
      </w:r>
      <w:r w:rsidR="001E6A01">
        <w:rPr>
          <w:rFonts w:ascii="Garamond" w:hAnsi="Garamond"/>
        </w:rPr>
        <w:t>2019</w:t>
      </w:r>
      <w:r w:rsidR="001E6A01" w:rsidRPr="00FF6E5B">
        <w:rPr>
          <w:rFonts w:ascii="Garamond" w:hAnsi="Garamond"/>
        </w:rPr>
        <w:t xml:space="preserve"> </w:t>
      </w:r>
      <w:r w:rsidR="00FF6E5B" w:rsidRPr="00FF6E5B">
        <w:rPr>
          <w:rFonts w:ascii="Garamond" w:hAnsi="Garamond"/>
        </w:rPr>
        <w:t xml:space="preserve">through </w:t>
      </w:r>
      <w:r w:rsidR="001E6A01" w:rsidRPr="00FF6E5B">
        <w:rPr>
          <w:rFonts w:ascii="Garamond" w:hAnsi="Garamond"/>
        </w:rPr>
        <w:t>202</w:t>
      </w:r>
      <w:r w:rsidR="001E6A01">
        <w:rPr>
          <w:rFonts w:ascii="Garamond" w:hAnsi="Garamond"/>
        </w:rPr>
        <w:t>3</w:t>
      </w:r>
      <w:r w:rsidR="00FF6E5B" w:rsidRPr="00FF6E5B">
        <w:rPr>
          <w:rFonts w:ascii="Garamond" w:hAnsi="Garamond"/>
        </w:rPr>
        <w:t xml:space="preserve">, generating a cross-sectional panel of </w:t>
      </w:r>
      <w:r w:rsidR="00E448FB" w:rsidRPr="00F874DF">
        <w:rPr>
          <w:rFonts w:ascii="Garamond" w:hAnsi="Garamond"/>
        </w:rPr>
        <w:t>13,</w:t>
      </w:r>
      <w:r w:rsidR="001E6A01">
        <w:rPr>
          <w:rFonts w:ascii="Garamond" w:hAnsi="Garamond"/>
        </w:rPr>
        <w:t>268</w:t>
      </w:r>
      <w:r w:rsidR="001E6A01" w:rsidRPr="00FF6E5B">
        <w:rPr>
          <w:rFonts w:ascii="Garamond" w:hAnsi="Garamond"/>
        </w:rPr>
        <w:t xml:space="preserve"> </w:t>
      </w:r>
      <w:r w:rsidR="00F874DF">
        <w:rPr>
          <w:rFonts w:ascii="Garamond" w:hAnsi="Garamond"/>
        </w:rPr>
        <w:t>C</w:t>
      </w:r>
      <w:r w:rsidR="00FF6E5B" w:rsidRPr="00FF6E5B">
        <w:rPr>
          <w:rFonts w:ascii="Garamond" w:hAnsi="Garamond"/>
        </w:rPr>
        <w:t>ensus tracts with complete data on all variables of interest.</w:t>
      </w:r>
      <w:r w:rsidR="00403853">
        <w:rPr>
          <w:rStyle w:val="FootnoteReference"/>
          <w:rFonts w:ascii="Garamond" w:hAnsi="Garamond"/>
        </w:rPr>
        <w:footnoteReference w:id="4"/>
      </w:r>
      <w:r w:rsidR="00FF6E5B" w:rsidRPr="00FF6E5B">
        <w:rPr>
          <w:rFonts w:ascii="Garamond" w:hAnsi="Garamond"/>
        </w:rPr>
        <w:t xml:space="preserve"> Population denominators were drawn from the 201</w:t>
      </w:r>
      <w:r w:rsidR="00CF5E17">
        <w:rPr>
          <w:rFonts w:ascii="Garamond" w:hAnsi="Garamond"/>
        </w:rPr>
        <w:t>6</w:t>
      </w:r>
      <w:r w:rsidR="00FF6E5B" w:rsidRPr="00FF6E5B">
        <w:rPr>
          <w:rFonts w:ascii="Garamond" w:hAnsi="Garamond"/>
        </w:rPr>
        <w:t>–202</w:t>
      </w:r>
      <w:r w:rsidR="00CF5E17">
        <w:rPr>
          <w:rFonts w:ascii="Garamond" w:hAnsi="Garamond"/>
        </w:rPr>
        <w:t>0</w:t>
      </w:r>
      <w:r w:rsidR="00FF6E5B" w:rsidRPr="00FF6E5B">
        <w:rPr>
          <w:rFonts w:ascii="Garamond" w:hAnsi="Garamond"/>
        </w:rPr>
        <w:t xml:space="preserve"> </w:t>
      </w:r>
      <w:r w:rsidR="00F874DF">
        <w:rPr>
          <w:rFonts w:ascii="Garamond" w:hAnsi="Garamond"/>
        </w:rPr>
        <w:t xml:space="preserve">ACS </w:t>
      </w:r>
      <w:r w:rsidR="00FF6E5B" w:rsidRPr="00FF6E5B">
        <w:rPr>
          <w:rFonts w:ascii="Garamond" w:hAnsi="Garamond"/>
        </w:rPr>
        <w:t xml:space="preserve">5-year estimates, allowing firearm </w:t>
      </w:r>
      <w:r w:rsidR="00A027FB">
        <w:rPr>
          <w:rFonts w:ascii="Garamond" w:hAnsi="Garamond"/>
        </w:rPr>
        <w:t>homicide</w:t>
      </w:r>
      <w:r w:rsidR="00FF6E5B" w:rsidRPr="00FF6E5B">
        <w:rPr>
          <w:rFonts w:ascii="Garamond" w:hAnsi="Garamond"/>
        </w:rPr>
        <w:t xml:space="preserve"> rates to be expressed as incidents per 100,000 residents</w:t>
      </w:r>
      <w:r w:rsidR="004270C4">
        <w:rPr>
          <w:rFonts w:ascii="Garamond" w:hAnsi="Garamond"/>
        </w:rPr>
        <w:t xml:space="preserve"> in supplemental models. </w:t>
      </w:r>
    </w:p>
    <w:p w14:paraId="617AF953" w14:textId="77777777" w:rsidR="00D00B1D" w:rsidRDefault="00D00B1D" w:rsidP="008918A0">
      <w:pPr>
        <w:spacing w:after="0" w:line="240" w:lineRule="auto"/>
        <w:jc w:val="both"/>
        <w:rPr>
          <w:rFonts w:ascii="Garamond" w:hAnsi="Garamond"/>
        </w:rPr>
      </w:pPr>
    </w:p>
    <w:p w14:paraId="69F6EA92" w14:textId="7DBE5E92" w:rsidR="00FF6E5B" w:rsidRDefault="00FF6E5B" w:rsidP="008918A0">
      <w:pPr>
        <w:spacing w:after="0" w:line="240" w:lineRule="auto"/>
        <w:jc w:val="both"/>
        <w:rPr>
          <w:rFonts w:ascii="Garamond" w:hAnsi="Garamond"/>
          <w:b/>
          <w:bCs/>
        </w:rPr>
      </w:pPr>
      <w:r w:rsidRPr="00FF6E5B">
        <w:rPr>
          <w:rFonts w:ascii="Garamond" w:hAnsi="Garamond"/>
          <w:b/>
          <w:bCs/>
        </w:rPr>
        <w:t>Measure</w:t>
      </w:r>
      <w:r w:rsidR="007D69F3">
        <w:rPr>
          <w:rFonts w:ascii="Garamond" w:hAnsi="Garamond"/>
          <w:b/>
          <w:bCs/>
        </w:rPr>
        <w:t>s</w:t>
      </w:r>
    </w:p>
    <w:p w14:paraId="040C08C4" w14:textId="77777777" w:rsidR="005D6F30" w:rsidRDefault="005D6F30" w:rsidP="008918A0">
      <w:pPr>
        <w:spacing w:after="0" w:line="240" w:lineRule="auto"/>
        <w:jc w:val="both"/>
        <w:rPr>
          <w:rFonts w:ascii="Garamond" w:hAnsi="Garamond"/>
          <w:b/>
          <w:bCs/>
        </w:rPr>
      </w:pPr>
    </w:p>
    <w:p w14:paraId="34EA942D" w14:textId="24FFEDD1" w:rsidR="00FF6E5B" w:rsidRPr="00FF6E5B" w:rsidRDefault="005D6F30" w:rsidP="00C028DE">
      <w:pPr>
        <w:spacing w:after="0" w:line="480" w:lineRule="auto"/>
        <w:ind w:firstLine="720"/>
        <w:jc w:val="both"/>
        <w:rPr>
          <w:rFonts w:ascii="Garamond" w:hAnsi="Garamond"/>
        </w:rPr>
      </w:pPr>
      <w:r w:rsidRPr="005D6F30">
        <w:rPr>
          <w:rFonts w:ascii="Garamond" w:hAnsi="Garamond"/>
        </w:rPr>
        <w:t xml:space="preserve">Our primary outcome variable is the pooled, tract-level firearm homicide count </w:t>
      </w:r>
      <w:r>
        <w:rPr>
          <w:rFonts w:ascii="Garamond" w:hAnsi="Garamond"/>
        </w:rPr>
        <w:t xml:space="preserve">as reported by the American Violence Project (see here: </w:t>
      </w:r>
      <w:hyperlink r:id="rId9" w:history="1">
        <w:r w:rsidRPr="00A934A4">
          <w:rPr>
            <w:rStyle w:val="Hyperlink"/>
            <w:rFonts w:ascii="Garamond" w:hAnsi="Garamond"/>
          </w:rPr>
          <w:t>https://www.americanviolence.org</w:t>
        </w:r>
      </w:hyperlink>
      <w:r>
        <w:rPr>
          <w:rFonts w:ascii="Garamond" w:hAnsi="Garamond"/>
        </w:rPr>
        <w:t xml:space="preserve">). </w:t>
      </w:r>
      <w:r w:rsidRPr="005D6F30">
        <w:rPr>
          <w:rFonts w:ascii="Garamond" w:hAnsi="Garamond"/>
        </w:rPr>
        <w:t xml:space="preserve"> </w:t>
      </w:r>
      <w:r w:rsidR="00FF6E5B" w:rsidRPr="00FF6E5B">
        <w:rPr>
          <w:rFonts w:ascii="Garamond" w:hAnsi="Garamond"/>
        </w:rPr>
        <w:t xml:space="preserve">The </w:t>
      </w:r>
      <w:r w:rsidR="00FF6E5B" w:rsidRPr="005D6F30">
        <w:rPr>
          <w:rFonts w:ascii="Garamond" w:hAnsi="Garamond"/>
          <w:i/>
          <w:iCs/>
        </w:rPr>
        <w:t>Social Vulnerability Index</w:t>
      </w:r>
      <w:r>
        <w:rPr>
          <w:rFonts w:ascii="Garamond" w:hAnsi="Garamond"/>
        </w:rPr>
        <w:t xml:space="preserve"> (SVI)</w:t>
      </w:r>
      <w:r w:rsidR="00FF6E5B" w:rsidRPr="00FF6E5B">
        <w:rPr>
          <w:rFonts w:ascii="Garamond" w:hAnsi="Garamond"/>
        </w:rPr>
        <w:t xml:space="preserve"> was operationalized using both the overall composite score and its four component themes as defined by the CDC. Each SVI measure is scaled as a </w:t>
      </w:r>
      <w:r w:rsidR="00F874DF">
        <w:rPr>
          <w:rFonts w:ascii="Garamond" w:hAnsi="Garamond"/>
        </w:rPr>
        <w:t>national</w:t>
      </w:r>
      <w:r w:rsidR="00FF6E5B" w:rsidRPr="00FF6E5B">
        <w:rPr>
          <w:rFonts w:ascii="Garamond" w:hAnsi="Garamond"/>
        </w:rPr>
        <w:t xml:space="preserve"> percentile (0–1), with higher values indicating greater vulnerability. </w:t>
      </w:r>
      <w:r w:rsidR="00B74FA5">
        <w:rPr>
          <w:rFonts w:ascii="Garamond" w:hAnsi="Garamond"/>
        </w:rPr>
        <w:t>We</w:t>
      </w:r>
      <w:r w:rsidR="00FF6E5B" w:rsidRPr="00FF6E5B">
        <w:rPr>
          <w:rFonts w:ascii="Garamond" w:hAnsi="Garamond"/>
        </w:rPr>
        <w:t xml:space="preserve"> restrict</w:t>
      </w:r>
      <w:r w:rsidR="00B74FA5">
        <w:rPr>
          <w:rFonts w:ascii="Garamond" w:hAnsi="Garamond"/>
        </w:rPr>
        <w:t xml:space="preserve"> our</w:t>
      </w:r>
      <w:r w:rsidR="00FF6E5B" w:rsidRPr="00FF6E5B">
        <w:rPr>
          <w:rFonts w:ascii="Garamond" w:hAnsi="Garamond"/>
        </w:rPr>
        <w:t xml:space="preserve"> analy</w:t>
      </w:r>
      <w:r w:rsidR="00B74FA5">
        <w:rPr>
          <w:rFonts w:ascii="Garamond" w:hAnsi="Garamond"/>
        </w:rPr>
        <w:t>tic sample</w:t>
      </w:r>
      <w:r w:rsidR="00FF6E5B" w:rsidRPr="00FF6E5B">
        <w:rPr>
          <w:rFonts w:ascii="Garamond" w:hAnsi="Garamond"/>
        </w:rPr>
        <w:t xml:space="preserve"> to tracts nested within </w:t>
      </w:r>
      <w:r w:rsidR="00F874DF">
        <w:rPr>
          <w:rFonts w:ascii="Garamond" w:hAnsi="Garamond"/>
        </w:rPr>
        <w:t>84</w:t>
      </w:r>
      <w:r w:rsidR="00FF6E5B" w:rsidRPr="00FF6E5B">
        <w:rPr>
          <w:rFonts w:ascii="Garamond" w:hAnsi="Garamond"/>
        </w:rPr>
        <w:t xml:space="preserve"> metropolitan statistical areas included in the A</w:t>
      </w:r>
      <w:r w:rsidR="007E553B">
        <w:rPr>
          <w:rFonts w:ascii="Garamond" w:hAnsi="Garamond"/>
        </w:rPr>
        <w:t xml:space="preserve">merican </w:t>
      </w:r>
      <w:r w:rsidR="00FF6E5B" w:rsidRPr="00FF6E5B">
        <w:rPr>
          <w:rFonts w:ascii="Garamond" w:hAnsi="Garamond"/>
        </w:rPr>
        <w:t>V</w:t>
      </w:r>
      <w:r w:rsidR="007E553B">
        <w:rPr>
          <w:rFonts w:ascii="Garamond" w:hAnsi="Garamond"/>
        </w:rPr>
        <w:t xml:space="preserve">iolence </w:t>
      </w:r>
      <w:r w:rsidR="00FF6E5B" w:rsidRPr="00FF6E5B">
        <w:rPr>
          <w:rFonts w:ascii="Garamond" w:hAnsi="Garamond"/>
        </w:rPr>
        <w:t>P</w:t>
      </w:r>
      <w:r w:rsidR="007E553B">
        <w:rPr>
          <w:rFonts w:ascii="Garamond" w:hAnsi="Garamond"/>
        </w:rPr>
        <w:t>roject</w:t>
      </w:r>
      <w:r w:rsidR="00FF6E5B" w:rsidRPr="00FF6E5B">
        <w:rPr>
          <w:rFonts w:ascii="Garamond" w:hAnsi="Garamond"/>
        </w:rPr>
        <w:t>.</w:t>
      </w:r>
      <w:r w:rsidR="00722299">
        <w:rPr>
          <w:rStyle w:val="FootnoteReference"/>
          <w:rFonts w:ascii="Garamond" w:hAnsi="Garamond"/>
        </w:rPr>
        <w:footnoteReference w:id="5"/>
      </w:r>
      <w:r w:rsidR="007E553B">
        <w:rPr>
          <w:rFonts w:ascii="Garamond" w:hAnsi="Garamond"/>
        </w:rPr>
        <w:t xml:space="preserve"> </w:t>
      </w:r>
    </w:p>
    <w:p w14:paraId="6F176AC8" w14:textId="3F41DA6F" w:rsidR="001B0CED" w:rsidRDefault="0039760B" w:rsidP="00314D5E">
      <w:pPr>
        <w:spacing w:after="0" w:line="480" w:lineRule="auto"/>
        <w:ind w:firstLine="720"/>
        <w:jc w:val="both"/>
        <w:rPr>
          <w:rFonts w:ascii="Garamond" w:hAnsi="Garamond"/>
        </w:rPr>
      </w:pPr>
      <w:bookmarkStart w:id="0" w:name="OLE_LINK8"/>
      <w:r>
        <w:rPr>
          <w:rFonts w:ascii="Garamond" w:hAnsi="Garamond"/>
        </w:rPr>
        <w:t>Following prior research</w:t>
      </w:r>
      <w:r w:rsidR="002B4719">
        <w:rPr>
          <w:rFonts w:ascii="Garamond" w:hAnsi="Garamond" w:hint="eastAsia"/>
          <w:lang w:eastAsia="ko-KR"/>
        </w:rPr>
        <w:t xml:space="preserve"> </w:t>
      </w:r>
      <w:r w:rsidR="002B4719">
        <w:rPr>
          <w:rFonts w:ascii="Garamond" w:hAnsi="Garamond"/>
          <w:lang w:eastAsia="ko-KR"/>
        </w:rPr>
        <w:fldChar w:fldCharType="begin"/>
      </w:r>
      <w:r w:rsidR="005548B3">
        <w:rPr>
          <w:rFonts w:ascii="Garamond" w:hAnsi="Garamond"/>
          <w:lang w:eastAsia="ko-KR"/>
        </w:rPr>
        <w:instrText xml:space="preserve"> ADDIN ZOTERO_ITEM CSL_CITATION {"citationID":"BTDijvDA","properties":{"unsorted":false,"formattedCitation":"[31]","plainCitation":"[31]","noteIndex":0},"citationItems":[{"id":27464,"uris":["http://zotero.org/users/7595310/items/PW4E6K8M"],"itemData":{"id":27464,"type":"article-journal","abstract":"It is hypothesized that collective efficacy, defined as social cohesion among neighbors combined with their willingness to intervene on behalf of the common good, is linked to reduced violence. This hypothesis was tested on a 1995 survey of 8782 residents of 343 neighborhoods in Chicago, Illinois. Multilevel analyses showed that a measure of collective efficacy yields a high between-neighborhood reliability and is negatively associated with variations in violence, when individual-level characteristics, measurement error, and prior violence are controlled. Associations of concentrated disadvantage and residential instability with violence are largely mediated by collective efficacy.","citation-key":"sampson_1997_sciencec","container-title":"Science","DOI":"10.1126/science.277.5328.918","ISSN":"0036-8075, 1095-9203","issue":"5328","journalAbbreviation":"Science","language":"en","page":"918-924","source":"DOI.org (Crossref)","title":"Neighborhoods and violent crime: a multilevel study of collective efficacy","title-short":"Neighborhoods and violent crime","volume":"277","author":[{"family":"Sampson","given":"Robert J."},{"family":"Raudenbush","given":"Stephen W."},{"family":"Earls","given":"Felton"}],"issued":{"date-parts":[["1997",8,15]]}}}],"schema":"https://github.com/citation-style-language/schema/raw/master/csl-citation.json"} </w:instrText>
      </w:r>
      <w:r w:rsidR="002B4719">
        <w:rPr>
          <w:rFonts w:ascii="Garamond" w:hAnsi="Garamond"/>
          <w:lang w:eastAsia="ko-KR"/>
        </w:rPr>
        <w:fldChar w:fldCharType="separate"/>
      </w:r>
      <w:r w:rsidR="005548B3" w:rsidRPr="005548B3">
        <w:rPr>
          <w:rFonts w:ascii="Garamond" w:hAnsi="Garamond"/>
          <w:lang w:eastAsia="ko-KR"/>
        </w:rPr>
        <w:t>[31]</w:t>
      </w:r>
      <w:r w:rsidR="002B4719">
        <w:rPr>
          <w:rFonts w:ascii="Garamond" w:hAnsi="Garamond"/>
          <w:lang w:eastAsia="ko-KR"/>
        </w:rPr>
        <w:fldChar w:fldCharType="end"/>
      </w:r>
      <w:r>
        <w:rPr>
          <w:rFonts w:ascii="Garamond" w:hAnsi="Garamond"/>
        </w:rPr>
        <w:t xml:space="preserve">, we </w:t>
      </w:r>
      <w:r w:rsidRPr="00FF6E5B">
        <w:rPr>
          <w:rFonts w:ascii="Garamond" w:hAnsi="Garamond"/>
        </w:rPr>
        <w:t>constructed a</w:t>
      </w:r>
      <w:r>
        <w:rPr>
          <w:rFonts w:ascii="Garamond" w:hAnsi="Garamond"/>
        </w:rPr>
        <w:t xml:space="preserve"> tract-level</w:t>
      </w:r>
      <w:r w:rsidRPr="00FF6E5B">
        <w:rPr>
          <w:rFonts w:ascii="Garamond" w:hAnsi="Garamond"/>
        </w:rPr>
        <w:t xml:space="preserve"> </w:t>
      </w:r>
      <w:r w:rsidRPr="007E553B">
        <w:rPr>
          <w:rFonts w:ascii="Garamond" w:hAnsi="Garamond"/>
          <w:i/>
          <w:iCs/>
        </w:rPr>
        <w:t>standardized index of concentrated disadvantage</w:t>
      </w:r>
      <w:r>
        <w:rPr>
          <w:rFonts w:ascii="Garamond" w:hAnsi="Garamond"/>
          <w:i/>
          <w:iCs/>
        </w:rPr>
        <w:t xml:space="preserve"> </w:t>
      </w:r>
      <w:r>
        <w:rPr>
          <w:rFonts w:ascii="Garamond" w:hAnsi="Garamond"/>
        </w:rPr>
        <w:t>(CDI)</w:t>
      </w:r>
      <w:r w:rsidRPr="00FF6E5B">
        <w:rPr>
          <w:rFonts w:ascii="Garamond" w:hAnsi="Garamond"/>
        </w:rPr>
        <w:t xml:space="preserve"> </w:t>
      </w:r>
      <w:r>
        <w:rPr>
          <w:rFonts w:ascii="Garamond" w:hAnsi="Garamond"/>
        </w:rPr>
        <w:t xml:space="preserve">that </w:t>
      </w:r>
      <w:r w:rsidR="00C16DC8" w:rsidRPr="00C16DC8">
        <w:rPr>
          <w:rFonts w:ascii="Garamond" w:hAnsi="Garamond"/>
        </w:rPr>
        <w:t>combine</w:t>
      </w:r>
      <w:r w:rsidR="002C28B6">
        <w:rPr>
          <w:rFonts w:ascii="Garamond" w:hAnsi="Garamond"/>
        </w:rPr>
        <w:t>s</w:t>
      </w:r>
      <w:r w:rsidR="00C16DC8" w:rsidRPr="00C16DC8">
        <w:rPr>
          <w:rFonts w:ascii="Garamond" w:hAnsi="Garamond"/>
        </w:rPr>
        <w:t xml:space="preserve"> </w:t>
      </w:r>
      <w:r w:rsidR="00395165">
        <w:rPr>
          <w:rFonts w:ascii="Garamond" w:hAnsi="Garamond"/>
        </w:rPr>
        <w:t>four</w:t>
      </w:r>
      <w:r w:rsidR="00395165" w:rsidRPr="00C16DC8">
        <w:rPr>
          <w:rFonts w:ascii="Garamond" w:hAnsi="Garamond"/>
        </w:rPr>
        <w:t xml:space="preserve"> </w:t>
      </w:r>
      <w:r w:rsidR="00C16DC8" w:rsidRPr="00C16DC8">
        <w:rPr>
          <w:rFonts w:ascii="Garamond" w:hAnsi="Garamond"/>
        </w:rPr>
        <w:t xml:space="preserve">indicators: proportion of female-headed households with children, proportion of persons below the poverty line, proportion of households receiving public assistance, and </w:t>
      </w:r>
      <w:r w:rsidR="00DD6552">
        <w:rPr>
          <w:rFonts w:ascii="Garamond" w:hAnsi="Garamond"/>
        </w:rPr>
        <w:t xml:space="preserve">the </w:t>
      </w:r>
      <w:r w:rsidR="00C16DC8" w:rsidRPr="00C16DC8">
        <w:rPr>
          <w:rFonts w:ascii="Garamond" w:hAnsi="Garamond"/>
        </w:rPr>
        <w:t>unemployment rate.</w:t>
      </w:r>
      <w:r w:rsidR="00125D45">
        <w:rPr>
          <w:rStyle w:val="FootnoteReference"/>
          <w:rFonts w:ascii="Garamond" w:hAnsi="Garamond"/>
        </w:rPr>
        <w:footnoteReference w:id="6"/>
      </w:r>
      <w:r w:rsidR="00C16DC8" w:rsidRPr="00C16DC8">
        <w:rPr>
          <w:rFonts w:ascii="Garamond" w:hAnsi="Garamond"/>
        </w:rPr>
        <w:t xml:space="preserve"> </w:t>
      </w:r>
      <w:r w:rsidR="00395165" w:rsidRPr="00395165">
        <w:rPr>
          <w:rFonts w:ascii="Garamond" w:hAnsi="Garamond"/>
        </w:rPr>
        <w:t xml:space="preserve">We constructed the concentrated disadvantage index using </w:t>
      </w:r>
      <w:r w:rsidR="00395165" w:rsidRPr="00395165">
        <w:rPr>
          <w:rFonts w:ascii="Garamond" w:hAnsi="Garamond"/>
        </w:rPr>
        <w:lastRenderedPageBreak/>
        <w:t xml:space="preserve">principal components analysis (PCA). </w:t>
      </w:r>
      <w:r w:rsidR="00F87A77" w:rsidRPr="00F87A77">
        <w:rPr>
          <w:rFonts w:ascii="Garamond" w:hAnsi="Garamond"/>
        </w:rPr>
        <w:t>Prior to extraction, all indicators were z-standardized to ensure comparability across measures.</w:t>
      </w:r>
      <w:r w:rsidR="00AF1E85">
        <w:rPr>
          <w:rFonts w:ascii="Garamond" w:hAnsi="Garamond" w:hint="eastAsia"/>
          <w:lang w:eastAsia="ko-KR"/>
        </w:rPr>
        <w:t xml:space="preserve"> </w:t>
      </w:r>
      <w:r w:rsidR="00395165" w:rsidRPr="00395165">
        <w:rPr>
          <w:rFonts w:ascii="Garamond" w:hAnsi="Garamond"/>
        </w:rPr>
        <w:t>A single component was extracted from the set of disadvantage indicators, and the resulting component scores were standardized to have a mean of zero and standard deviation of one.</w:t>
      </w:r>
      <w:r w:rsidR="00395165">
        <w:rPr>
          <w:rFonts w:ascii="Garamond" w:hAnsi="Garamond"/>
        </w:rPr>
        <w:t xml:space="preserve"> </w:t>
      </w:r>
      <w:r w:rsidR="00BB5DA1" w:rsidRPr="00BB5DA1">
        <w:rPr>
          <w:rFonts w:ascii="Garamond" w:hAnsi="Garamond"/>
        </w:rPr>
        <w:t>Given some inconsistency in the empirical literature regarding the specific indicators used to operationalize concentrated disadvantage, we also estimated alternative versions of the CDI incorporating additional indicators sometimes included in prior research, such as measures of educational attainment (</w:t>
      </w:r>
      <w:r w:rsidR="00BB5DA1">
        <w:rPr>
          <w:rFonts w:ascii="Garamond" w:hAnsi="Garamond"/>
        </w:rPr>
        <w:t>measured as the proportion of the tract with a high school degree o</w:t>
      </w:r>
      <w:r w:rsidR="00F87A77">
        <w:rPr>
          <w:rFonts w:ascii="Garamond" w:hAnsi="Garamond"/>
        </w:rPr>
        <w:t>r</w:t>
      </w:r>
      <w:r w:rsidR="00BB5DA1">
        <w:rPr>
          <w:rFonts w:ascii="Garamond" w:hAnsi="Garamond"/>
        </w:rPr>
        <w:t xml:space="preserve"> less</w:t>
      </w:r>
      <w:r w:rsidR="00CA01BB">
        <w:rPr>
          <w:rFonts w:ascii="Garamond" w:hAnsi="Garamond" w:hint="eastAsia"/>
          <w:lang w:eastAsia="ko-KR"/>
        </w:rPr>
        <w:t xml:space="preserve"> </w:t>
      </w:r>
      <w:r w:rsidR="00CA01BB">
        <w:rPr>
          <w:rFonts w:ascii="Garamond" w:hAnsi="Garamond"/>
          <w:lang w:eastAsia="ko-KR"/>
        </w:rPr>
        <w:fldChar w:fldCharType="begin"/>
      </w:r>
      <w:r w:rsidR="005548B3">
        <w:rPr>
          <w:rFonts w:ascii="Garamond" w:hAnsi="Garamond"/>
          <w:lang w:eastAsia="ko-KR"/>
        </w:rPr>
        <w:instrText xml:space="preserve"> ADDIN ZOTERO_ITEM CSL_CITATION {"citationID":"n3XClQcb","properties":{"unsorted":false,"formattedCitation":"[41]","plainCitation":"[41]","noteIndex":0},"citationItems":[{"id":27486,"uris":["http://zotero.org/users/7595310/items/5UHVV6JZ"],"itemData":{"id":27486,"type":"article-journal","abstract":"Research examining the relationship between neighborhood socioeconomic disadvantage and adolescent offending typically examines only the influence of residential neighborhoods. This strategy may be problematic as 1) neighborhoods are rarely spatially independent of each other and 2) adolescents spend an appreciable portion of their time engaged in activities outside of their immediate neighborhood. Therefore, characteristics of neighborhoods outside of, but geographically proximate to, residential neighborhoods may affect adolescents’ propensity to engage in delinquent behavior. We append a spatially lagged, distance-weighted measure of socioeconomic disadvantage in “extralocal” neighborhoods to the individual records of respondents participating in the first two waves of the National Longitudinal Survey of Youth, 1997 Cohort (N = 6,491). Results from negative binomial regression analyses indicate that the level of socioeconomic disadvantage in extralocal neighborhoods is inversely associated with youth offending, as theories of relative deprivation, structured opportunity, and routine activities would predict, and that the magnitude of this effect rivals that of the level of disadvantage in youths’ own residential neighborhoods. Moreover, socioeconomic disadvantage in extralocal neighborhoods suppresses the criminogenic influence of socioeconomic disadvantage in youths’ own neighborhoods, revealing stronger effects of local neighborhood disadvantage than would otherwise be observed.","citation-key":"vogel_2016_criminologyd","container-title":"Criminology","DOI":"10.1111/1745-9125.12110","ISSN":"1745-9125","issue":"3","language":"en","license":"© 2016 The Authors. Criminology published by Wiley Periodicals, Inc. on behalf of American Society of Criminology.","note":"_eprint: https://onlinelibrary.wiley.com/doi/pdf/10.1111/1745-9125.12110","page":"434-458","source":"Wiley Online Library","title":"Spatial dimensions of the effect of neighborhood disadvantage on delinquency","volume":"54","author":[{"family":"Vogel","given":"Matt"},{"family":"South","given":"Scott J."}],"issued":{"date-parts":[["2016"]]}}}],"schema":"https://github.com/citation-style-language/schema/raw/master/csl-citation.json"} </w:instrText>
      </w:r>
      <w:r w:rsidR="00CA01BB">
        <w:rPr>
          <w:rFonts w:ascii="Garamond" w:hAnsi="Garamond"/>
          <w:lang w:eastAsia="ko-KR"/>
        </w:rPr>
        <w:fldChar w:fldCharType="separate"/>
      </w:r>
      <w:r w:rsidR="005548B3" w:rsidRPr="005548B3">
        <w:rPr>
          <w:rFonts w:ascii="Garamond" w:hAnsi="Garamond"/>
          <w:lang w:eastAsia="ko-KR"/>
        </w:rPr>
        <w:t>[41]</w:t>
      </w:r>
      <w:r w:rsidR="00CA01BB">
        <w:rPr>
          <w:rFonts w:ascii="Garamond" w:hAnsi="Garamond"/>
          <w:lang w:eastAsia="ko-KR"/>
        </w:rPr>
        <w:fldChar w:fldCharType="end"/>
      </w:r>
      <w:r w:rsidR="00BB5DA1" w:rsidRPr="00BB5DA1">
        <w:rPr>
          <w:rFonts w:ascii="Garamond" w:hAnsi="Garamond"/>
        </w:rPr>
        <w:t>) and median income (</w:t>
      </w:r>
      <w:r w:rsidR="00BB5DA1">
        <w:rPr>
          <w:rFonts w:ascii="Garamond" w:hAnsi="Garamond"/>
        </w:rPr>
        <w:t>reverse coded</w:t>
      </w:r>
      <w:r w:rsidR="0008733F">
        <w:rPr>
          <w:rFonts w:ascii="Garamond" w:hAnsi="Garamond" w:hint="eastAsia"/>
          <w:lang w:eastAsia="ko-KR"/>
        </w:rPr>
        <w:t xml:space="preserve"> </w:t>
      </w:r>
      <w:r w:rsidR="0008733F">
        <w:rPr>
          <w:rFonts w:ascii="Garamond" w:hAnsi="Garamond"/>
          <w:lang w:eastAsia="ko-KR"/>
        </w:rPr>
        <w:fldChar w:fldCharType="begin"/>
      </w:r>
      <w:r w:rsidR="005548B3">
        <w:rPr>
          <w:rFonts w:ascii="Garamond" w:hAnsi="Garamond"/>
          <w:lang w:eastAsia="ko-KR"/>
        </w:rPr>
        <w:instrText xml:space="preserve"> ADDIN ZOTERO_ITEM CSL_CITATION {"citationID":"gbgtPhgz","properties":{"unsorted":false,"formattedCitation":"[47]","plainCitation":"[47]","noteIndex":0},"citationItems":[{"id":27409,"uris":["http://zotero.org/users/7595310/items/G7727KWP"],"itemData":{"id":27409,"type":"article-journal","abstract":"Research into the effects of neighborhood characteristics on children’s behavior has burgeoned in recent years, but these studies have generally adopted a limited conceptualization of the spatial and temporal dimensions of neighborhood effects. We use longitudinal data from the Panel Study of Income Dynamics and techniques of spatial data analysis to examine how both the socioeconomic characteristics of extralocal neighborhoods—neighborhoods surrounding the immediate neighborhood of residence—and the duration of exposure to disadvantaged neighborhoods throughout the childhood life course influence the likelihood of graduating from high school. Among blacks and whites, socioeconomic advantage in the immediate neighborhood increases the likelihood of completing high school, but among whites higher levels of socioeconomic advantage in extralocal neighborhoods decrease high school graduation rates. Extralocal neighborhood advantage suppresses the influence of advantage in the immediate neighborhood so that controlling for extralocal conditions provides stronger support for the neighborhood effects hypothesis than has previously been observed. Exposure to advantaged neighborhoods over the childhood life course exerts a stronger effect than point-in-time measures on high school graduation, and racial differences in exposure to advantaged neighbors over the childhood life course help to suppress a net black advantage in the likelihood of completing high school.","citation-key":"crowder_2011_socialscienceresearch","container-title":"Social Science Research","DOI":"10.1016/j.ssresearch.2010.04.013","ISSN":"0049-089X","issue":"1","journalAbbreviation":"Social Science Research","page":"87-106","source":"ScienceDirect","title":"Spatial and temporal dimensions of neighborhood effects on high school graduation","volume":"40","author":[{"family":"Crowder","given":"Kyle"},{"family":"South","given":"Scott J."}],"issued":{"date-parts":[["2011",1,1]]}}}],"schema":"https://github.com/citation-style-language/schema/raw/master/csl-citation.json"} </w:instrText>
      </w:r>
      <w:r w:rsidR="0008733F">
        <w:rPr>
          <w:rFonts w:ascii="Garamond" w:hAnsi="Garamond"/>
          <w:lang w:eastAsia="ko-KR"/>
        </w:rPr>
        <w:fldChar w:fldCharType="separate"/>
      </w:r>
      <w:r w:rsidR="005548B3" w:rsidRPr="005548B3">
        <w:rPr>
          <w:rFonts w:ascii="Garamond" w:hAnsi="Garamond"/>
          <w:lang w:eastAsia="ko-KR"/>
        </w:rPr>
        <w:t>[47]</w:t>
      </w:r>
      <w:r w:rsidR="0008733F">
        <w:rPr>
          <w:rFonts w:ascii="Garamond" w:hAnsi="Garamond"/>
          <w:lang w:eastAsia="ko-KR"/>
        </w:rPr>
        <w:fldChar w:fldCharType="end"/>
      </w:r>
      <w:r w:rsidR="00BB5DA1" w:rsidRPr="00BB5DA1">
        <w:rPr>
          <w:rFonts w:ascii="Garamond" w:hAnsi="Garamond"/>
        </w:rPr>
        <w:t xml:space="preserve">). The substantive findings were similar across these alternative specifications. </w:t>
      </w:r>
      <w:r w:rsidR="009310E3">
        <w:rPr>
          <w:rFonts w:ascii="Garamond" w:hAnsi="Garamond"/>
        </w:rPr>
        <w:t>The r</w:t>
      </w:r>
      <w:r w:rsidR="00BB5DA1" w:rsidRPr="00BB5DA1">
        <w:rPr>
          <w:rFonts w:ascii="Garamond" w:hAnsi="Garamond"/>
        </w:rPr>
        <w:t>esults appear in Appendix 3.</w:t>
      </w:r>
      <w:r w:rsidR="00BB5DA1">
        <w:rPr>
          <w:rFonts w:ascii="Garamond" w:hAnsi="Garamond"/>
        </w:rPr>
        <w:t xml:space="preserve"> </w:t>
      </w:r>
      <w:bookmarkEnd w:id="0"/>
      <w:r w:rsidR="00C16DC8" w:rsidRPr="00C16DC8">
        <w:rPr>
          <w:rFonts w:ascii="Garamond" w:hAnsi="Garamond"/>
        </w:rPr>
        <w:t xml:space="preserve">We generated </w:t>
      </w:r>
      <w:r w:rsidR="00CA7D9D">
        <w:rPr>
          <w:rFonts w:ascii="Garamond" w:hAnsi="Garamond"/>
        </w:rPr>
        <w:t>two</w:t>
      </w:r>
      <w:r w:rsidR="00CA7D9D" w:rsidRPr="00C16DC8">
        <w:rPr>
          <w:rFonts w:ascii="Garamond" w:hAnsi="Garamond"/>
        </w:rPr>
        <w:t xml:space="preserve"> </w:t>
      </w:r>
      <w:r w:rsidR="00C16DC8" w:rsidRPr="00C16DC8">
        <w:rPr>
          <w:rFonts w:ascii="Garamond" w:hAnsi="Garamond"/>
        </w:rPr>
        <w:t xml:space="preserve">versions of </w:t>
      </w:r>
      <w:proofErr w:type="gramStart"/>
      <w:r w:rsidR="00C16DC8" w:rsidRPr="00C16DC8">
        <w:rPr>
          <w:rFonts w:ascii="Garamond" w:hAnsi="Garamond"/>
        </w:rPr>
        <w:t>the CDI</w:t>
      </w:r>
      <w:proofErr w:type="gramEnd"/>
      <w:r w:rsidR="00C16DC8" w:rsidRPr="00C16DC8">
        <w:rPr>
          <w:rFonts w:ascii="Garamond" w:hAnsi="Garamond"/>
        </w:rPr>
        <w:t xml:space="preserve"> to enable comparisons at multiple geographic scales. The national-level index pooled</w:t>
      </w:r>
      <w:r w:rsidR="00DD6552">
        <w:rPr>
          <w:rFonts w:ascii="Garamond" w:hAnsi="Garamond"/>
        </w:rPr>
        <w:t xml:space="preserve"> across</w:t>
      </w:r>
      <w:r w:rsidR="00C16DC8" w:rsidRPr="00C16DC8">
        <w:rPr>
          <w:rFonts w:ascii="Garamond" w:hAnsi="Garamond"/>
        </w:rPr>
        <w:t xml:space="preserve"> all tracts</w:t>
      </w:r>
      <w:r w:rsidR="00DD6552">
        <w:rPr>
          <w:rFonts w:ascii="Garamond" w:hAnsi="Garamond"/>
        </w:rPr>
        <w:t xml:space="preserve"> in the country</w:t>
      </w:r>
      <w:r w:rsidR="00C16DC8" w:rsidRPr="00C16DC8">
        <w:rPr>
          <w:rFonts w:ascii="Garamond" w:hAnsi="Garamond"/>
        </w:rPr>
        <w:t xml:space="preserve"> (eigenvalue = 2.</w:t>
      </w:r>
      <w:r w:rsidR="00AF1E85">
        <w:rPr>
          <w:rFonts w:ascii="Garamond" w:hAnsi="Garamond" w:hint="eastAsia"/>
          <w:lang w:eastAsia="ko-KR"/>
        </w:rPr>
        <w:t>23</w:t>
      </w:r>
      <w:r w:rsidR="00C16DC8" w:rsidRPr="00C16DC8">
        <w:rPr>
          <w:rFonts w:ascii="Garamond" w:hAnsi="Garamond"/>
        </w:rPr>
        <w:t>, alpha = 0.</w:t>
      </w:r>
      <w:r w:rsidR="00AF1E85">
        <w:rPr>
          <w:rFonts w:ascii="Garamond" w:hAnsi="Garamond" w:hint="eastAsia"/>
          <w:lang w:eastAsia="ko-KR"/>
        </w:rPr>
        <w:t>73</w:t>
      </w:r>
      <w:r w:rsidR="00CA7D9D" w:rsidRPr="00C16DC8">
        <w:rPr>
          <w:rFonts w:ascii="Garamond" w:hAnsi="Garamond"/>
        </w:rPr>
        <w:t>)</w:t>
      </w:r>
      <w:r w:rsidR="00CA7D9D">
        <w:rPr>
          <w:rFonts w:ascii="Garamond" w:hAnsi="Garamond"/>
        </w:rPr>
        <w:t xml:space="preserve"> and</w:t>
      </w:r>
      <w:r w:rsidR="00CA7D9D" w:rsidRPr="00C16DC8">
        <w:rPr>
          <w:rFonts w:ascii="Garamond" w:hAnsi="Garamond"/>
        </w:rPr>
        <w:t xml:space="preserve"> </w:t>
      </w:r>
      <w:r w:rsidR="00CA7D9D">
        <w:rPr>
          <w:rFonts w:ascii="Garamond" w:hAnsi="Garamond"/>
        </w:rPr>
        <w:t>s</w:t>
      </w:r>
      <w:r w:rsidR="00CA7D9D" w:rsidRPr="00C16DC8">
        <w:rPr>
          <w:rFonts w:ascii="Garamond" w:hAnsi="Garamond"/>
        </w:rPr>
        <w:t>tate</w:t>
      </w:r>
      <w:r w:rsidR="00C16DC8" w:rsidRPr="00C16DC8">
        <w:rPr>
          <w:rFonts w:ascii="Garamond" w:hAnsi="Garamond"/>
        </w:rPr>
        <w:t xml:space="preserve">-specific indices </w:t>
      </w:r>
      <w:r w:rsidR="00DD6552">
        <w:rPr>
          <w:rFonts w:ascii="Garamond" w:hAnsi="Garamond"/>
        </w:rPr>
        <w:t xml:space="preserve">to </w:t>
      </w:r>
      <w:r w:rsidR="00C16DC8" w:rsidRPr="00C16DC8">
        <w:rPr>
          <w:rFonts w:ascii="Garamond" w:hAnsi="Garamond"/>
        </w:rPr>
        <w:t>account</w:t>
      </w:r>
      <w:r w:rsidR="00DD6552">
        <w:rPr>
          <w:rFonts w:ascii="Garamond" w:hAnsi="Garamond"/>
        </w:rPr>
        <w:t xml:space="preserve"> </w:t>
      </w:r>
      <w:r w:rsidR="00C16DC8" w:rsidRPr="00C16DC8">
        <w:rPr>
          <w:rFonts w:ascii="Garamond" w:hAnsi="Garamond"/>
        </w:rPr>
        <w:t>for regional variation (mean eigenvalue = 2.</w:t>
      </w:r>
      <w:r w:rsidR="00AF1E85">
        <w:rPr>
          <w:rFonts w:ascii="Garamond" w:hAnsi="Garamond" w:hint="eastAsia"/>
          <w:lang w:eastAsia="ko-KR"/>
        </w:rPr>
        <w:t>18</w:t>
      </w:r>
      <w:r w:rsidR="00C16DC8" w:rsidRPr="00C16DC8">
        <w:rPr>
          <w:rFonts w:ascii="Garamond" w:hAnsi="Garamond"/>
        </w:rPr>
        <w:t>, mean alpha = 0.</w:t>
      </w:r>
      <w:r w:rsidR="00AF1E85">
        <w:rPr>
          <w:rFonts w:ascii="Garamond" w:hAnsi="Garamond" w:hint="eastAsia"/>
          <w:lang w:eastAsia="ko-KR"/>
        </w:rPr>
        <w:t>70</w:t>
      </w:r>
      <w:r w:rsidR="00C16DC8" w:rsidRPr="00C16DC8">
        <w:rPr>
          <w:rFonts w:ascii="Garamond" w:hAnsi="Garamond"/>
        </w:rPr>
        <w:t>).</w:t>
      </w:r>
      <w:r w:rsidR="00CA7D9D">
        <w:rPr>
          <w:rStyle w:val="FootnoteReference"/>
          <w:rFonts w:ascii="Garamond" w:hAnsi="Garamond"/>
        </w:rPr>
        <w:footnoteReference w:id="7"/>
      </w:r>
      <w:r w:rsidR="00C16DC8" w:rsidRPr="00C16DC8">
        <w:rPr>
          <w:rFonts w:ascii="Garamond" w:hAnsi="Garamond"/>
        </w:rPr>
        <w:t xml:space="preserve"> All indicators were drawn from the </w:t>
      </w:r>
      <w:r w:rsidR="0029229A" w:rsidRPr="00FF6E5B">
        <w:rPr>
          <w:rFonts w:ascii="Garamond" w:hAnsi="Garamond"/>
        </w:rPr>
        <w:t>201</w:t>
      </w:r>
      <w:r w:rsidR="0029229A">
        <w:rPr>
          <w:rFonts w:ascii="Garamond" w:hAnsi="Garamond"/>
        </w:rPr>
        <w:t>6</w:t>
      </w:r>
      <w:r w:rsidR="0029229A" w:rsidRPr="00FF6E5B">
        <w:rPr>
          <w:rFonts w:ascii="Garamond" w:hAnsi="Garamond"/>
        </w:rPr>
        <w:t>–202</w:t>
      </w:r>
      <w:r w:rsidR="0029229A">
        <w:rPr>
          <w:rFonts w:ascii="Garamond" w:hAnsi="Garamond"/>
        </w:rPr>
        <w:t>0</w:t>
      </w:r>
      <w:r w:rsidR="0029229A" w:rsidRPr="00FF6E5B">
        <w:rPr>
          <w:rFonts w:ascii="Garamond" w:hAnsi="Garamond"/>
        </w:rPr>
        <w:t xml:space="preserve"> </w:t>
      </w:r>
      <w:r w:rsidR="00C16DC8" w:rsidRPr="00C16DC8">
        <w:rPr>
          <w:rFonts w:ascii="Garamond" w:hAnsi="Garamond"/>
        </w:rPr>
        <w:t>ACS 5-year estimates, consistent with the SVI reference period.</w:t>
      </w:r>
      <w:r w:rsidR="00F75655">
        <w:rPr>
          <w:rFonts w:ascii="Garamond" w:hAnsi="Garamond"/>
        </w:rPr>
        <w:t xml:space="preserve"> </w:t>
      </w:r>
      <w:r w:rsidR="00F75655" w:rsidRPr="00F75655">
        <w:rPr>
          <w:rFonts w:ascii="Garamond" w:hAnsi="Garamond"/>
        </w:rPr>
        <w:t>Because questions of spatial scaling may shape the performance of contextual measures such as the SVI, we also estimated supplementary county-level analyses as a sensitivity check</w:t>
      </w:r>
      <w:r w:rsidR="00972091">
        <w:rPr>
          <w:rFonts w:ascii="Garamond" w:hAnsi="Garamond"/>
        </w:rPr>
        <w:t xml:space="preserve">, aggregating homicide counts from tracts to the broader county within which they are nested. </w:t>
      </w:r>
      <w:r w:rsidR="00F75655" w:rsidRPr="00F75655">
        <w:rPr>
          <w:rFonts w:ascii="Garamond" w:hAnsi="Garamond"/>
        </w:rPr>
        <w:t xml:space="preserve"> </w:t>
      </w:r>
      <w:r w:rsidR="00972091">
        <w:rPr>
          <w:rFonts w:ascii="Garamond" w:hAnsi="Garamond"/>
        </w:rPr>
        <w:t>T</w:t>
      </w:r>
      <w:r w:rsidR="00F75655" w:rsidRPr="00F75655">
        <w:rPr>
          <w:rFonts w:ascii="Garamond" w:hAnsi="Garamond"/>
        </w:rPr>
        <w:t>he substantive pattern of findings remained unchanged</w:t>
      </w:r>
      <w:r w:rsidR="00972091">
        <w:rPr>
          <w:rFonts w:ascii="Garamond" w:hAnsi="Garamond"/>
        </w:rPr>
        <w:t xml:space="preserve"> (see Appendix </w:t>
      </w:r>
      <w:r w:rsidR="00BB5DA1">
        <w:rPr>
          <w:rFonts w:ascii="Garamond" w:hAnsi="Garamond"/>
        </w:rPr>
        <w:t>4</w:t>
      </w:r>
      <w:r w:rsidR="00972091">
        <w:rPr>
          <w:rFonts w:ascii="Garamond" w:hAnsi="Garamond"/>
        </w:rPr>
        <w:t>)</w:t>
      </w:r>
      <w:r w:rsidR="00F75655" w:rsidRPr="00F75655">
        <w:rPr>
          <w:rFonts w:ascii="Garamond" w:hAnsi="Garamond"/>
        </w:rPr>
        <w:t>.</w:t>
      </w:r>
      <w:r w:rsidR="00314D5E">
        <w:rPr>
          <w:rFonts w:ascii="Garamond" w:hAnsi="Garamond"/>
        </w:rPr>
        <w:t xml:space="preserve"> </w:t>
      </w:r>
      <w:r w:rsidR="001B0CED" w:rsidRPr="00A24876">
        <w:rPr>
          <w:rFonts w:ascii="Garamond" w:hAnsi="Garamond"/>
        </w:rPr>
        <w:t xml:space="preserve">To promote transparency and facilitate replication, </w:t>
      </w:r>
      <w:r w:rsidR="00946908">
        <w:rPr>
          <w:rFonts w:ascii="Garamond" w:hAnsi="Garamond"/>
        </w:rPr>
        <w:t>all</w:t>
      </w:r>
      <w:r w:rsidR="001B0CED" w:rsidRPr="00A24876">
        <w:rPr>
          <w:rFonts w:ascii="Garamond" w:hAnsi="Garamond"/>
        </w:rPr>
        <w:t xml:space="preserve"> indices, along with supporting documentation and Stata/R code for replication, are openly available through a public data repository</w:t>
      </w:r>
      <w:r w:rsidR="001B0CED">
        <w:rPr>
          <w:rFonts w:ascii="Garamond" w:hAnsi="Garamond"/>
        </w:rPr>
        <w:t xml:space="preserve"> found </w:t>
      </w:r>
      <w:r w:rsidR="00AE3183">
        <w:rPr>
          <w:rFonts w:ascii="Garamond" w:hAnsi="Garamond"/>
        </w:rPr>
        <w:t>at the authors’ GitHub</w:t>
      </w:r>
      <w:r w:rsidR="0067075E">
        <w:rPr>
          <w:rFonts w:ascii="Garamond" w:hAnsi="Garamond"/>
        </w:rPr>
        <w:t>:</w:t>
      </w:r>
      <w:r w:rsidR="00345469" w:rsidRPr="00345469">
        <w:rPr>
          <w:rFonts w:ascii="Garamond" w:hAnsi="Garamond"/>
        </w:rPr>
        <w:t xml:space="preserve"> </w:t>
      </w:r>
      <w:hyperlink r:id="rId10" w:history="1">
        <w:r w:rsidR="00F7554B" w:rsidRPr="00AA40CA">
          <w:rPr>
            <w:rStyle w:val="Hyperlink"/>
            <w:rFonts w:ascii="Garamond" w:hAnsi="Garamond"/>
          </w:rPr>
          <w:t>https://github.com/idlhy0218/Concentrated-Disadvantage-Index</w:t>
        </w:r>
      </w:hyperlink>
      <w:r w:rsidR="00314D5E">
        <w:rPr>
          <w:rFonts w:ascii="Garamond" w:hAnsi="Garamond"/>
        </w:rPr>
        <w:t xml:space="preserve">. </w:t>
      </w:r>
    </w:p>
    <w:p w14:paraId="3C6DF246" w14:textId="77777777" w:rsidR="00D85634" w:rsidRDefault="00D85634" w:rsidP="008918A0">
      <w:pPr>
        <w:spacing w:after="0" w:line="240" w:lineRule="auto"/>
        <w:jc w:val="both"/>
        <w:rPr>
          <w:rFonts w:ascii="Garamond" w:hAnsi="Garamond"/>
          <w:b/>
          <w:bCs/>
        </w:rPr>
      </w:pPr>
    </w:p>
    <w:p w14:paraId="26434470" w14:textId="6D60FA44" w:rsidR="00FF6E5B" w:rsidRPr="00FF6E5B" w:rsidRDefault="00FF6E5B" w:rsidP="00C028DE">
      <w:pPr>
        <w:spacing w:after="0" w:line="480" w:lineRule="auto"/>
        <w:jc w:val="both"/>
        <w:rPr>
          <w:rFonts w:ascii="Garamond" w:hAnsi="Garamond"/>
          <w:b/>
          <w:bCs/>
        </w:rPr>
      </w:pPr>
      <w:r w:rsidRPr="00FF6E5B">
        <w:rPr>
          <w:rFonts w:ascii="Garamond" w:hAnsi="Garamond"/>
          <w:b/>
          <w:bCs/>
        </w:rPr>
        <w:t>Analytic Strategy</w:t>
      </w:r>
    </w:p>
    <w:p w14:paraId="1C806CB9" w14:textId="6CFB2727" w:rsidR="00FF6E5B" w:rsidRPr="00FF6E5B" w:rsidRDefault="00DD6552" w:rsidP="00C028DE">
      <w:pPr>
        <w:spacing w:after="0" w:line="480" w:lineRule="auto"/>
        <w:ind w:firstLine="720"/>
        <w:jc w:val="both"/>
        <w:rPr>
          <w:rFonts w:ascii="Garamond" w:hAnsi="Garamond"/>
        </w:rPr>
      </w:pPr>
      <w:r>
        <w:rPr>
          <w:rFonts w:ascii="Garamond" w:hAnsi="Garamond"/>
        </w:rPr>
        <w:t>Our</w:t>
      </w:r>
      <w:r w:rsidR="00FF6E5B" w:rsidRPr="00FF6E5B">
        <w:rPr>
          <w:rFonts w:ascii="Garamond" w:hAnsi="Garamond"/>
        </w:rPr>
        <w:t xml:space="preserve"> analysis </w:t>
      </w:r>
      <w:r w:rsidR="002B7113" w:rsidRPr="00FF6E5B">
        <w:rPr>
          <w:rFonts w:ascii="Garamond" w:hAnsi="Garamond"/>
        </w:rPr>
        <w:t>proceeds</w:t>
      </w:r>
      <w:r w:rsidR="00FF6E5B" w:rsidRPr="00FF6E5B">
        <w:rPr>
          <w:rFonts w:ascii="Garamond" w:hAnsi="Garamond"/>
        </w:rPr>
        <w:t xml:space="preserve"> in three stages</w:t>
      </w:r>
      <w:r w:rsidR="00A029E4" w:rsidRPr="00FF6E5B">
        <w:rPr>
          <w:rFonts w:ascii="Garamond" w:hAnsi="Garamond"/>
        </w:rPr>
        <w:t>.</w:t>
      </w:r>
      <w:r w:rsidR="00A029E4">
        <w:rPr>
          <w:rFonts w:ascii="Garamond" w:hAnsi="Garamond"/>
        </w:rPr>
        <w:t xml:space="preserve"> </w:t>
      </w:r>
      <w:r w:rsidR="00FF6E5B" w:rsidRPr="00FF6E5B">
        <w:rPr>
          <w:rFonts w:ascii="Garamond" w:hAnsi="Garamond"/>
        </w:rPr>
        <w:t xml:space="preserve">First, </w:t>
      </w:r>
      <w:r w:rsidR="00896926" w:rsidRPr="00FF6E5B">
        <w:rPr>
          <w:rFonts w:ascii="Garamond" w:hAnsi="Garamond"/>
        </w:rPr>
        <w:t>we assess bivariate relationships between the SVI (composite</w:t>
      </w:r>
      <w:r w:rsidR="00896926">
        <w:rPr>
          <w:rFonts w:ascii="Garamond" w:hAnsi="Garamond"/>
        </w:rPr>
        <w:t xml:space="preserve">, </w:t>
      </w:r>
      <w:r w:rsidR="00896926" w:rsidRPr="00FF6E5B">
        <w:rPr>
          <w:rFonts w:ascii="Garamond" w:hAnsi="Garamond"/>
        </w:rPr>
        <w:t>themes</w:t>
      </w:r>
      <w:r w:rsidR="00896926">
        <w:rPr>
          <w:rFonts w:ascii="Garamond" w:hAnsi="Garamond"/>
        </w:rPr>
        <w:t>, and individual items</w:t>
      </w:r>
      <w:r w:rsidR="00896926" w:rsidRPr="00FF6E5B">
        <w:rPr>
          <w:rFonts w:ascii="Garamond" w:hAnsi="Garamond"/>
        </w:rPr>
        <w:t>), the CDI</w:t>
      </w:r>
      <w:r w:rsidR="00896926">
        <w:rPr>
          <w:rFonts w:ascii="Garamond" w:hAnsi="Garamond"/>
        </w:rPr>
        <w:t xml:space="preserve"> (composite and items)</w:t>
      </w:r>
      <w:r w:rsidR="00896926" w:rsidRPr="00FF6E5B">
        <w:rPr>
          <w:rFonts w:ascii="Garamond" w:hAnsi="Garamond"/>
        </w:rPr>
        <w:t xml:space="preserve">, and tract-level firearm </w:t>
      </w:r>
      <w:r w:rsidR="00896926">
        <w:rPr>
          <w:rFonts w:ascii="Garamond" w:hAnsi="Garamond"/>
        </w:rPr>
        <w:lastRenderedPageBreak/>
        <w:t>homicide</w:t>
      </w:r>
      <w:r w:rsidR="00896926" w:rsidRPr="00FF6E5B">
        <w:rPr>
          <w:rFonts w:ascii="Garamond" w:hAnsi="Garamond"/>
        </w:rPr>
        <w:t xml:space="preserve"> </w:t>
      </w:r>
      <w:r w:rsidR="00896926">
        <w:rPr>
          <w:rFonts w:ascii="Garamond" w:hAnsi="Garamond"/>
        </w:rPr>
        <w:t>counts</w:t>
      </w:r>
      <w:r w:rsidR="00896926" w:rsidRPr="00FF6E5B">
        <w:rPr>
          <w:rFonts w:ascii="Garamond" w:hAnsi="Garamond"/>
        </w:rPr>
        <w:t>. Pearson correlation</w:t>
      </w:r>
      <w:r w:rsidR="00896926">
        <w:rPr>
          <w:rFonts w:ascii="Garamond" w:hAnsi="Garamond"/>
        </w:rPr>
        <w:t xml:space="preserve"> coefficients </w:t>
      </w:r>
      <w:r w:rsidR="00896926" w:rsidRPr="00FF6E5B">
        <w:rPr>
          <w:rFonts w:ascii="Garamond" w:hAnsi="Garamond"/>
        </w:rPr>
        <w:t xml:space="preserve">were </w:t>
      </w:r>
      <w:r w:rsidR="00896926">
        <w:rPr>
          <w:rFonts w:ascii="Garamond" w:hAnsi="Garamond"/>
        </w:rPr>
        <w:t>estimated</w:t>
      </w:r>
      <w:r w:rsidR="00896926" w:rsidRPr="00FF6E5B">
        <w:rPr>
          <w:rFonts w:ascii="Garamond" w:hAnsi="Garamond"/>
        </w:rPr>
        <w:t xml:space="preserve"> for all variables to gauge </w:t>
      </w:r>
      <w:r w:rsidR="00896926">
        <w:rPr>
          <w:rFonts w:ascii="Garamond" w:hAnsi="Garamond"/>
        </w:rPr>
        <w:t xml:space="preserve">conceptual </w:t>
      </w:r>
      <w:r w:rsidR="00896926" w:rsidRPr="00FF6E5B">
        <w:rPr>
          <w:rFonts w:ascii="Garamond" w:hAnsi="Garamond"/>
        </w:rPr>
        <w:t>overlap</w:t>
      </w:r>
      <w:r w:rsidR="00896926">
        <w:rPr>
          <w:rFonts w:ascii="Garamond" w:hAnsi="Garamond"/>
        </w:rPr>
        <w:t>. W</w:t>
      </w:r>
      <w:r w:rsidR="00FF6E5B" w:rsidRPr="00FF6E5B">
        <w:rPr>
          <w:rFonts w:ascii="Garamond" w:hAnsi="Garamond"/>
        </w:rPr>
        <w:t xml:space="preserve">e </w:t>
      </w:r>
      <w:r w:rsidR="00896926">
        <w:rPr>
          <w:rFonts w:ascii="Garamond" w:hAnsi="Garamond"/>
        </w:rPr>
        <w:t xml:space="preserve">next </w:t>
      </w:r>
      <w:r w:rsidR="00FF6E5B" w:rsidRPr="00FF6E5B">
        <w:rPr>
          <w:rFonts w:ascii="Garamond" w:hAnsi="Garamond"/>
        </w:rPr>
        <w:t xml:space="preserve">evaluate the measurement </w:t>
      </w:r>
      <w:r w:rsidR="008736BE">
        <w:rPr>
          <w:rFonts w:ascii="Garamond" w:hAnsi="Garamond"/>
        </w:rPr>
        <w:t>properties</w:t>
      </w:r>
      <w:r w:rsidR="00FF6E5B" w:rsidRPr="00FF6E5B">
        <w:rPr>
          <w:rFonts w:ascii="Garamond" w:hAnsi="Garamond"/>
        </w:rPr>
        <w:t xml:space="preserve"> of the SVI. Using </w:t>
      </w:r>
      <w:r w:rsidR="00113F0E">
        <w:rPr>
          <w:rFonts w:ascii="Garamond" w:hAnsi="Garamond"/>
        </w:rPr>
        <w:t>PCA</w:t>
      </w:r>
      <w:r w:rsidR="00FF6E5B" w:rsidRPr="00FF6E5B">
        <w:rPr>
          <w:rFonts w:ascii="Garamond" w:hAnsi="Garamond"/>
        </w:rPr>
        <w:t xml:space="preserve">, we examine whether the </w:t>
      </w:r>
      <w:r w:rsidR="00A029E4" w:rsidRPr="00FF6E5B">
        <w:rPr>
          <w:rFonts w:ascii="Garamond" w:hAnsi="Garamond"/>
        </w:rPr>
        <w:t>sixteen</w:t>
      </w:r>
      <w:r w:rsidR="007E553B">
        <w:rPr>
          <w:rFonts w:ascii="Garamond" w:hAnsi="Garamond"/>
        </w:rPr>
        <w:t xml:space="preserve"> </w:t>
      </w:r>
      <w:r w:rsidR="00FF6E5B" w:rsidRPr="00FF6E5B">
        <w:rPr>
          <w:rFonts w:ascii="Garamond" w:hAnsi="Garamond"/>
        </w:rPr>
        <w:t xml:space="preserve">indicators load cleanly onto the four themes specified by the CDC. We assess dimensionality using </w:t>
      </w:r>
      <w:r w:rsidR="00151D4A" w:rsidRPr="00FF6E5B">
        <w:rPr>
          <w:rFonts w:ascii="Garamond" w:hAnsi="Garamond"/>
        </w:rPr>
        <w:t>eigenvalues and</w:t>
      </w:r>
      <w:r w:rsidR="00FF6E5B" w:rsidRPr="00FF6E5B">
        <w:rPr>
          <w:rFonts w:ascii="Garamond" w:hAnsi="Garamond"/>
        </w:rPr>
        <w:t xml:space="preserve"> evaluated internal consistency with Cronbach’s alpha and inter-item correlations within each theme. </w:t>
      </w:r>
      <w:r w:rsidR="0039760B">
        <w:rPr>
          <w:rFonts w:ascii="Garamond" w:hAnsi="Garamond"/>
        </w:rPr>
        <w:t>Finally</w:t>
      </w:r>
      <w:r w:rsidR="00FF6E5B" w:rsidRPr="00CB7D6E">
        <w:rPr>
          <w:rFonts w:ascii="Garamond" w:hAnsi="Garamond"/>
        </w:rPr>
        <w:t xml:space="preserve">, we estimated a series of negative binomial regression models predicting firearm </w:t>
      </w:r>
      <w:r w:rsidR="00F76A38" w:rsidRPr="00CB7D6E">
        <w:rPr>
          <w:rFonts w:ascii="Garamond" w:hAnsi="Garamond"/>
        </w:rPr>
        <w:t>homicide</w:t>
      </w:r>
      <w:r w:rsidR="00FF6E5B" w:rsidRPr="00CB7D6E">
        <w:rPr>
          <w:rFonts w:ascii="Garamond" w:hAnsi="Garamond"/>
        </w:rPr>
        <w:t xml:space="preserve"> counts using </w:t>
      </w:r>
      <w:r w:rsidR="001271FD">
        <w:rPr>
          <w:rFonts w:ascii="Garamond" w:hAnsi="Garamond"/>
        </w:rPr>
        <w:t xml:space="preserve">the </w:t>
      </w:r>
      <w:r w:rsidR="00FF6E5B" w:rsidRPr="00CB7D6E">
        <w:rPr>
          <w:rFonts w:ascii="Garamond" w:hAnsi="Garamond"/>
        </w:rPr>
        <w:t>tract population as an exposure term</w:t>
      </w:r>
      <w:r w:rsidR="00A37D48" w:rsidRPr="00CB7D6E">
        <w:rPr>
          <w:rFonts w:ascii="Garamond" w:hAnsi="Garamond"/>
        </w:rPr>
        <w:t xml:space="preserve"> and adjusting standard error</w:t>
      </w:r>
      <w:r w:rsidR="004270C4">
        <w:rPr>
          <w:rFonts w:ascii="Garamond" w:hAnsi="Garamond"/>
        </w:rPr>
        <w:t>s</w:t>
      </w:r>
      <w:r w:rsidR="00A37D48" w:rsidRPr="00CB7D6E">
        <w:rPr>
          <w:rFonts w:ascii="Garamond" w:hAnsi="Garamond"/>
        </w:rPr>
        <w:t xml:space="preserve"> for the clustering of tracts within cities</w:t>
      </w:r>
      <w:r w:rsidR="00FF6E5B" w:rsidRPr="00CB7D6E">
        <w:rPr>
          <w:rFonts w:ascii="Garamond" w:hAnsi="Garamond"/>
        </w:rPr>
        <w:t>.</w:t>
      </w:r>
      <w:r w:rsidR="002209F1">
        <w:rPr>
          <w:rStyle w:val="FootnoteReference"/>
          <w:rFonts w:ascii="Garamond" w:hAnsi="Garamond"/>
        </w:rPr>
        <w:footnoteReference w:id="8"/>
      </w:r>
      <w:r w:rsidR="002209F1" w:rsidRPr="002209F1">
        <w:rPr>
          <w:rFonts w:ascii="Garamond" w:hAnsi="Garamond"/>
          <w:vertAlign w:val="superscript"/>
        </w:rPr>
        <w:t>,</w:t>
      </w:r>
      <w:r w:rsidR="00C42FC0" w:rsidRPr="00CB7D6E">
        <w:rPr>
          <w:rStyle w:val="FootnoteReference"/>
          <w:rFonts w:ascii="Garamond" w:hAnsi="Garamond"/>
        </w:rPr>
        <w:footnoteReference w:id="9"/>
      </w:r>
      <w:r w:rsidR="00FF6E5B" w:rsidRPr="00CB7D6E">
        <w:rPr>
          <w:rFonts w:ascii="Garamond" w:hAnsi="Garamond"/>
        </w:rPr>
        <w:t xml:space="preserve"> Model 1 included the overall SVI composite as the sole predictor; Model</w:t>
      </w:r>
      <w:r w:rsidR="005D6F30">
        <w:rPr>
          <w:rFonts w:ascii="Garamond" w:hAnsi="Garamond"/>
        </w:rPr>
        <w:t>s</w:t>
      </w:r>
      <w:r w:rsidR="00FF6E5B" w:rsidRPr="00CB7D6E">
        <w:rPr>
          <w:rFonts w:ascii="Garamond" w:hAnsi="Garamond"/>
        </w:rPr>
        <w:t xml:space="preserve"> 2</w:t>
      </w:r>
      <w:r w:rsidR="005D6F30">
        <w:rPr>
          <w:rFonts w:ascii="Garamond" w:hAnsi="Garamond"/>
        </w:rPr>
        <w:t>-5</w:t>
      </w:r>
      <w:r w:rsidR="00FF6E5B" w:rsidRPr="00CB7D6E">
        <w:rPr>
          <w:rFonts w:ascii="Garamond" w:hAnsi="Garamond"/>
        </w:rPr>
        <w:t xml:space="preserve"> disaggregated</w:t>
      </w:r>
      <w:r w:rsidR="00A37D48" w:rsidRPr="00CB7D6E">
        <w:rPr>
          <w:rFonts w:ascii="Garamond" w:hAnsi="Garamond"/>
        </w:rPr>
        <w:t xml:space="preserve"> </w:t>
      </w:r>
      <w:r w:rsidR="00FF6E5B" w:rsidRPr="00CB7D6E">
        <w:rPr>
          <w:rFonts w:ascii="Garamond" w:hAnsi="Garamond"/>
        </w:rPr>
        <w:t>the SVI into its four thematic domains</w:t>
      </w:r>
      <w:r w:rsidR="00A37D48" w:rsidRPr="00CB7D6E">
        <w:rPr>
          <w:rFonts w:ascii="Garamond" w:hAnsi="Garamond"/>
        </w:rPr>
        <w:t xml:space="preserve"> and assess</w:t>
      </w:r>
      <w:r>
        <w:rPr>
          <w:rFonts w:ascii="Garamond" w:hAnsi="Garamond"/>
        </w:rPr>
        <w:t>ed</w:t>
      </w:r>
      <w:r w:rsidR="00A37D48" w:rsidRPr="00CB7D6E">
        <w:rPr>
          <w:rFonts w:ascii="Garamond" w:hAnsi="Garamond"/>
        </w:rPr>
        <w:t xml:space="preserve"> their independent associations with homicide counts</w:t>
      </w:r>
      <w:r w:rsidR="00F76A38" w:rsidRPr="00CB7D6E">
        <w:rPr>
          <w:rFonts w:ascii="Garamond" w:hAnsi="Garamond"/>
        </w:rPr>
        <w:t>.</w:t>
      </w:r>
      <w:r>
        <w:rPr>
          <w:rFonts w:ascii="Garamond" w:hAnsi="Garamond"/>
        </w:rPr>
        <w:t xml:space="preserve"> </w:t>
      </w:r>
      <w:r w:rsidRPr="00B62E9E">
        <w:rPr>
          <w:rFonts w:ascii="Garamond" w:hAnsi="Garamond"/>
        </w:rPr>
        <w:t>Models 6-</w:t>
      </w:r>
      <w:r w:rsidR="002A1220">
        <w:rPr>
          <w:rFonts w:ascii="Garamond" w:hAnsi="Garamond"/>
        </w:rPr>
        <w:t>7</w:t>
      </w:r>
      <w:r w:rsidR="002A1220" w:rsidRPr="00B62E9E">
        <w:rPr>
          <w:rFonts w:ascii="Garamond" w:hAnsi="Garamond"/>
        </w:rPr>
        <w:t xml:space="preserve"> </w:t>
      </w:r>
      <w:r w:rsidRPr="00B62E9E">
        <w:rPr>
          <w:rFonts w:ascii="Garamond" w:hAnsi="Garamond"/>
        </w:rPr>
        <w:t>substitute the CDI for the SVI at the national</w:t>
      </w:r>
      <w:r w:rsidR="002A1220">
        <w:rPr>
          <w:rFonts w:ascii="Garamond" w:hAnsi="Garamond"/>
        </w:rPr>
        <w:t xml:space="preserve"> and</w:t>
      </w:r>
      <w:r w:rsidR="002A1220" w:rsidRPr="00B62E9E">
        <w:rPr>
          <w:rFonts w:ascii="Garamond" w:hAnsi="Garamond"/>
        </w:rPr>
        <w:t xml:space="preserve"> </w:t>
      </w:r>
      <w:r w:rsidRPr="00B62E9E">
        <w:rPr>
          <w:rFonts w:ascii="Garamond" w:hAnsi="Garamond"/>
        </w:rPr>
        <w:t>state levels, respectively</w:t>
      </w:r>
      <w:r>
        <w:rPr>
          <w:rFonts w:ascii="Garamond" w:hAnsi="Garamond"/>
        </w:rPr>
        <w:t>.</w:t>
      </w:r>
      <w:r w:rsidR="004B7F73">
        <w:rPr>
          <w:rFonts w:ascii="Garamond" w:hAnsi="Garamond"/>
        </w:rPr>
        <w:t xml:space="preserve"> Given the </w:t>
      </w:r>
      <w:r w:rsidR="002E4C28">
        <w:rPr>
          <w:rFonts w:ascii="Garamond" w:hAnsi="Garamond"/>
        </w:rPr>
        <w:t xml:space="preserve">scaling differences in the construction of the SVI and CDI </w:t>
      </w:r>
      <w:r w:rsidR="00804278">
        <w:rPr>
          <w:rFonts w:ascii="Garamond" w:hAnsi="Garamond"/>
        </w:rPr>
        <w:t>measures</w:t>
      </w:r>
      <w:r w:rsidR="002E4C28">
        <w:rPr>
          <w:rFonts w:ascii="Garamond" w:hAnsi="Garamond"/>
        </w:rPr>
        <w:t xml:space="preserve"> and the </w:t>
      </w:r>
      <w:r w:rsidR="004B7F73">
        <w:rPr>
          <w:rFonts w:ascii="Garamond" w:hAnsi="Garamond"/>
        </w:rPr>
        <w:t>count-based nature of the response variable, the regression coefficients are not directly comparable across regression models. Instead, w</w:t>
      </w:r>
      <w:r w:rsidR="00FF6E5B" w:rsidRPr="00CB7D6E">
        <w:rPr>
          <w:rFonts w:ascii="Garamond" w:hAnsi="Garamond"/>
        </w:rPr>
        <w:t>e compare</w:t>
      </w:r>
      <w:r w:rsidR="004B7F73">
        <w:rPr>
          <w:rFonts w:ascii="Garamond" w:hAnsi="Garamond"/>
        </w:rPr>
        <w:t xml:space="preserve"> the performance of the various dimensions of SVI and CDI </w:t>
      </w:r>
      <w:r w:rsidR="00FF6E5B" w:rsidRPr="00CB7D6E">
        <w:rPr>
          <w:rFonts w:ascii="Garamond" w:hAnsi="Garamond"/>
        </w:rPr>
        <w:t>using multiple indicators</w:t>
      </w:r>
      <w:r w:rsidR="004270C4">
        <w:rPr>
          <w:rFonts w:ascii="Garamond" w:hAnsi="Garamond"/>
        </w:rPr>
        <w:t xml:space="preserve"> of</w:t>
      </w:r>
      <w:r w:rsidR="00FF6E5B" w:rsidRPr="00CB7D6E">
        <w:rPr>
          <w:rFonts w:ascii="Garamond" w:hAnsi="Garamond"/>
        </w:rPr>
        <w:t xml:space="preserve"> </w:t>
      </w:r>
      <w:r w:rsidR="00F76A38" w:rsidRPr="00CB7D6E">
        <w:rPr>
          <w:rFonts w:ascii="Garamond" w:hAnsi="Garamond"/>
        </w:rPr>
        <w:t>model fit</w:t>
      </w:r>
      <w:r w:rsidR="00FF6E5B" w:rsidRPr="00CB7D6E">
        <w:rPr>
          <w:rFonts w:ascii="Garamond" w:hAnsi="Garamond"/>
        </w:rPr>
        <w:t xml:space="preserve">. These included </w:t>
      </w:r>
      <w:r w:rsidR="005B21E5">
        <w:rPr>
          <w:rFonts w:ascii="Garamond" w:hAnsi="Garamond"/>
        </w:rPr>
        <w:t xml:space="preserve">the pseudo-R-squared, the </w:t>
      </w:r>
      <w:r w:rsidR="00FF6E5B" w:rsidRPr="00CB7D6E">
        <w:rPr>
          <w:rFonts w:ascii="Garamond" w:hAnsi="Garamond"/>
        </w:rPr>
        <w:t>Akaike (AIC) and Bayesian (BIC) Information Criteria, and Vuong test</w:t>
      </w:r>
      <w:r w:rsidR="004B7F73">
        <w:rPr>
          <w:rFonts w:ascii="Garamond" w:hAnsi="Garamond"/>
        </w:rPr>
        <w:t>s</w:t>
      </w:r>
      <w:r w:rsidR="00FF6E5B" w:rsidRPr="00CB7D6E">
        <w:rPr>
          <w:rFonts w:ascii="Garamond" w:hAnsi="Garamond"/>
        </w:rPr>
        <w:t xml:space="preserve"> for </w:t>
      </w:r>
      <w:r w:rsidR="00A37D48" w:rsidRPr="00CB7D6E">
        <w:rPr>
          <w:rFonts w:ascii="Garamond" w:hAnsi="Garamond"/>
        </w:rPr>
        <w:t xml:space="preserve">comparing fit indices </w:t>
      </w:r>
      <w:r>
        <w:rPr>
          <w:rFonts w:ascii="Garamond" w:hAnsi="Garamond"/>
        </w:rPr>
        <w:t>given the non-nest</w:t>
      </w:r>
      <w:r w:rsidR="00841279">
        <w:rPr>
          <w:rFonts w:ascii="Garamond" w:hAnsi="Garamond"/>
        </w:rPr>
        <w:t>ed</w:t>
      </w:r>
      <w:r>
        <w:rPr>
          <w:rFonts w:ascii="Garamond" w:hAnsi="Garamond"/>
        </w:rPr>
        <w:t xml:space="preserve"> nature of the models</w:t>
      </w:r>
      <w:r w:rsidR="00FF6E5B" w:rsidRPr="00CB7D6E">
        <w:rPr>
          <w:rFonts w:ascii="Garamond" w:hAnsi="Garamond"/>
        </w:rPr>
        <w:t>.</w:t>
      </w:r>
      <w:r w:rsidR="00841279">
        <w:rPr>
          <w:rFonts w:ascii="Garamond" w:hAnsi="Garamond"/>
        </w:rPr>
        <w:t xml:space="preserve"> </w:t>
      </w:r>
      <w:proofErr w:type="gramStart"/>
      <w:r w:rsidR="00841279">
        <w:rPr>
          <w:rFonts w:ascii="Garamond" w:hAnsi="Garamond"/>
        </w:rPr>
        <w:t>Generally speaking, smaller</w:t>
      </w:r>
      <w:proofErr w:type="gramEnd"/>
      <w:r w:rsidR="00841279">
        <w:rPr>
          <w:rFonts w:ascii="Garamond" w:hAnsi="Garamond"/>
        </w:rPr>
        <w:t xml:space="preserve"> AIC and BIC statistics indicate better model fit. The Vuong test</w:t>
      </w:r>
      <w:r w:rsidR="0008733F">
        <w:rPr>
          <w:rFonts w:ascii="Garamond" w:hAnsi="Garamond" w:hint="eastAsia"/>
          <w:lang w:eastAsia="ko-KR"/>
        </w:rPr>
        <w:t xml:space="preserve"> </w:t>
      </w:r>
      <w:r w:rsidR="0008733F">
        <w:rPr>
          <w:rFonts w:ascii="Garamond" w:hAnsi="Garamond"/>
          <w:lang w:eastAsia="ko-KR"/>
        </w:rPr>
        <w:fldChar w:fldCharType="begin"/>
      </w:r>
      <w:r w:rsidR="005548B3">
        <w:rPr>
          <w:rFonts w:ascii="Garamond" w:hAnsi="Garamond"/>
          <w:lang w:eastAsia="ko-KR"/>
        </w:rPr>
        <w:instrText xml:space="preserve"> ADDIN ZOTERO_ITEM CSL_CITATION {"citationID":"6logZU7Q","properties":{"unsorted":false,"formattedCitation":"[48]","plainCitation":"[48]","noteIndex":0},"citationItems":[{"id":27489,"uris":["http://zotero.org/users/7595310/items/KA2Q2JXW"],"itemData":{"id":27489,"type":"article-journal","citation-key":"vuong_1989_econometrica","container-title":"Econometrica","DOI":"10.2307/1912557","ISSN":"00129682","issue":"2","journalAbbreviation":"Econometrica","page":"307","source":"DOI.org (Crossref)","title":"Likelihood ratio tests for model selection and non-nested hypotheses","volume":"57","author":[{"family":"Vuong","given":"Quang H."}],"issued":{"date-parts":[["1989",3]]}}}],"schema":"https://github.com/citation-style-language/schema/raw/master/csl-citation.json"} </w:instrText>
      </w:r>
      <w:r w:rsidR="0008733F">
        <w:rPr>
          <w:rFonts w:ascii="Garamond" w:hAnsi="Garamond"/>
          <w:lang w:eastAsia="ko-KR"/>
        </w:rPr>
        <w:fldChar w:fldCharType="separate"/>
      </w:r>
      <w:r w:rsidR="005548B3" w:rsidRPr="005548B3">
        <w:rPr>
          <w:rFonts w:ascii="Garamond" w:hAnsi="Garamond"/>
          <w:lang w:eastAsia="ko-KR"/>
        </w:rPr>
        <w:t>[48]</w:t>
      </w:r>
      <w:r w:rsidR="0008733F">
        <w:rPr>
          <w:rFonts w:ascii="Garamond" w:hAnsi="Garamond"/>
          <w:lang w:eastAsia="ko-KR"/>
        </w:rPr>
        <w:fldChar w:fldCharType="end"/>
      </w:r>
      <w:r w:rsidR="00841279">
        <w:rPr>
          <w:rFonts w:ascii="Garamond" w:hAnsi="Garamond"/>
        </w:rPr>
        <w:t xml:space="preserve"> provides a</w:t>
      </w:r>
      <w:r w:rsidR="005B21E5">
        <w:rPr>
          <w:rFonts w:ascii="Garamond" w:hAnsi="Garamond"/>
        </w:rPr>
        <w:t xml:space="preserve"> means to adjudicate which model is closest to the true data generating process. In the </w:t>
      </w:r>
      <w:r w:rsidR="00693D17">
        <w:rPr>
          <w:rFonts w:ascii="Garamond" w:hAnsi="Garamond"/>
        </w:rPr>
        <w:t>interest of interpretability, m</w:t>
      </w:r>
      <w:r w:rsidR="00FF6E5B" w:rsidRPr="00CB7D6E">
        <w:rPr>
          <w:rFonts w:ascii="Garamond" w:hAnsi="Garamond"/>
        </w:rPr>
        <w:t xml:space="preserve">odel coefficients </w:t>
      </w:r>
      <w:r w:rsidR="00F76A38" w:rsidRPr="00CB7D6E">
        <w:rPr>
          <w:rFonts w:ascii="Garamond" w:hAnsi="Garamond"/>
        </w:rPr>
        <w:t>are</w:t>
      </w:r>
      <w:r w:rsidR="00FF6E5B" w:rsidRPr="00CB7D6E">
        <w:rPr>
          <w:rFonts w:ascii="Garamond" w:hAnsi="Garamond"/>
        </w:rPr>
        <w:t xml:space="preserve"> exponentiated to yield incidence rate ratios (IRRs). All analyses were conducted in Stata 1</w:t>
      </w:r>
      <w:r w:rsidR="00F76A38" w:rsidRPr="00CB7D6E">
        <w:rPr>
          <w:rFonts w:ascii="Garamond" w:hAnsi="Garamond"/>
        </w:rPr>
        <w:t>6</w:t>
      </w:r>
      <w:r w:rsidR="00A40BC4">
        <w:rPr>
          <w:rFonts w:ascii="Garamond" w:hAnsi="Garamond" w:hint="eastAsia"/>
          <w:lang w:eastAsia="ko-KR"/>
        </w:rPr>
        <w:t xml:space="preserve"> and R</w:t>
      </w:r>
      <w:r w:rsidR="002C2A2E">
        <w:rPr>
          <w:rFonts w:ascii="Garamond" w:hAnsi="Garamond" w:hint="eastAsia"/>
          <w:lang w:eastAsia="ko-KR"/>
        </w:rPr>
        <w:t xml:space="preserve"> version 4.3.0</w:t>
      </w:r>
      <w:r w:rsidR="00F76A38" w:rsidRPr="00CB7D6E">
        <w:rPr>
          <w:rFonts w:ascii="Garamond" w:hAnsi="Garamond"/>
        </w:rPr>
        <w:t>.</w:t>
      </w:r>
      <w:r w:rsidR="00F76A38">
        <w:rPr>
          <w:rFonts w:ascii="Garamond" w:hAnsi="Garamond"/>
        </w:rPr>
        <w:t xml:space="preserve"> </w:t>
      </w:r>
    </w:p>
    <w:p w14:paraId="2E4061BA" w14:textId="77777777" w:rsidR="005E707E" w:rsidRDefault="005E707E" w:rsidP="008918A0">
      <w:pPr>
        <w:spacing w:after="0" w:line="240" w:lineRule="auto"/>
        <w:jc w:val="both"/>
        <w:rPr>
          <w:rFonts w:ascii="Garamond" w:hAnsi="Garamond"/>
        </w:rPr>
      </w:pPr>
    </w:p>
    <w:p w14:paraId="3BB4E9BF" w14:textId="2828EE04" w:rsidR="005E707E" w:rsidRDefault="005E707E" w:rsidP="008918A0">
      <w:pPr>
        <w:spacing w:after="0" w:line="240" w:lineRule="auto"/>
        <w:jc w:val="both"/>
        <w:rPr>
          <w:rFonts w:ascii="Garamond" w:hAnsi="Garamond"/>
          <w:b/>
          <w:bCs/>
        </w:rPr>
      </w:pPr>
      <w:r w:rsidRPr="005E707E">
        <w:rPr>
          <w:rFonts w:ascii="Garamond" w:hAnsi="Garamond"/>
          <w:b/>
          <w:bCs/>
        </w:rPr>
        <w:t>RESULTS</w:t>
      </w:r>
    </w:p>
    <w:p w14:paraId="3E06FB8F" w14:textId="77777777" w:rsidR="00206E8A" w:rsidRDefault="00206E8A" w:rsidP="008918A0">
      <w:pPr>
        <w:spacing w:after="0" w:line="240" w:lineRule="auto"/>
        <w:jc w:val="both"/>
        <w:rPr>
          <w:rFonts w:ascii="Garamond" w:hAnsi="Garamond"/>
          <w:b/>
          <w:bCs/>
        </w:rPr>
      </w:pPr>
    </w:p>
    <w:p w14:paraId="2AF34C14" w14:textId="4998AAB6" w:rsidR="00206E8A" w:rsidRDefault="00206E8A" w:rsidP="00206E8A">
      <w:pPr>
        <w:spacing w:after="0" w:line="240" w:lineRule="auto"/>
        <w:jc w:val="center"/>
        <w:rPr>
          <w:rFonts w:ascii="Garamond" w:hAnsi="Garamond"/>
          <w:b/>
          <w:bCs/>
        </w:rPr>
      </w:pPr>
      <w:r>
        <w:rPr>
          <w:rFonts w:ascii="Garamond" w:hAnsi="Garamond"/>
          <w:b/>
          <w:bCs/>
        </w:rPr>
        <w:t>[Table 1 Here]</w:t>
      </w:r>
    </w:p>
    <w:p w14:paraId="67F17F7D" w14:textId="4DE0AA47" w:rsidR="00206E8A" w:rsidRPr="005E707E" w:rsidRDefault="00206E8A" w:rsidP="00206E8A">
      <w:pPr>
        <w:spacing w:after="0" w:line="240" w:lineRule="auto"/>
        <w:jc w:val="center"/>
        <w:rPr>
          <w:rFonts w:ascii="Garamond" w:hAnsi="Garamond"/>
          <w:b/>
          <w:bCs/>
        </w:rPr>
      </w:pPr>
      <w:r>
        <w:rPr>
          <w:rFonts w:ascii="Garamond" w:hAnsi="Garamond"/>
          <w:b/>
          <w:bCs/>
        </w:rPr>
        <w:t>[Figure 1 Here]</w:t>
      </w:r>
    </w:p>
    <w:p w14:paraId="5A00D9A2" w14:textId="2661CE96" w:rsidR="00170B4C" w:rsidRDefault="00EC2AB6" w:rsidP="00C028DE">
      <w:pPr>
        <w:spacing w:after="0" w:line="480" w:lineRule="auto"/>
        <w:ind w:firstLine="720"/>
        <w:jc w:val="both"/>
        <w:rPr>
          <w:rFonts w:ascii="Garamond" w:hAnsi="Garamond"/>
        </w:rPr>
      </w:pPr>
      <w:r>
        <w:rPr>
          <w:rFonts w:ascii="Garamond" w:hAnsi="Garamond"/>
        </w:rPr>
        <w:lastRenderedPageBreak/>
        <w:t xml:space="preserve">Table 1 presents the descriptive statistics for the variables included in the </w:t>
      </w:r>
      <w:r w:rsidR="00701A8A">
        <w:rPr>
          <w:rFonts w:ascii="Garamond" w:hAnsi="Garamond"/>
        </w:rPr>
        <w:t>analysis</w:t>
      </w:r>
      <w:r>
        <w:rPr>
          <w:rFonts w:ascii="Garamond" w:hAnsi="Garamond"/>
        </w:rPr>
        <w:t xml:space="preserve">. </w:t>
      </w:r>
      <w:r w:rsidR="001F4C1C">
        <w:rPr>
          <w:rFonts w:ascii="Garamond" w:hAnsi="Garamond"/>
        </w:rPr>
        <w:t xml:space="preserve">In total, there were approximately </w:t>
      </w:r>
      <w:r w:rsidR="004132B0">
        <w:rPr>
          <w:rFonts w:ascii="Garamond" w:hAnsi="Garamond"/>
        </w:rPr>
        <w:t>29</w:t>
      </w:r>
      <w:r w:rsidR="001F4C1C">
        <w:rPr>
          <w:rFonts w:ascii="Garamond" w:hAnsi="Garamond"/>
        </w:rPr>
        <w:t xml:space="preserve">,000 homicides in </w:t>
      </w:r>
      <w:r w:rsidR="004B7F73">
        <w:rPr>
          <w:rFonts w:ascii="Garamond" w:hAnsi="Garamond"/>
        </w:rPr>
        <w:t>these 84 cities</w:t>
      </w:r>
      <w:r w:rsidR="001F4C1C">
        <w:rPr>
          <w:rFonts w:ascii="Garamond" w:hAnsi="Garamond"/>
        </w:rPr>
        <w:t xml:space="preserve"> during the observation period, underscoring the endemic nature of firearm harm in </w:t>
      </w:r>
      <w:r w:rsidR="004B7F73">
        <w:rPr>
          <w:rFonts w:ascii="Garamond" w:hAnsi="Garamond"/>
        </w:rPr>
        <w:t>the United States</w:t>
      </w:r>
      <w:r w:rsidR="001F4C1C">
        <w:rPr>
          <w:rFonts w:ascii="Garamond" w:hAnsi="Garamond"/>
        </w:rPr>
        <w:t>.</w:t>
      </w:r>
      <w:r w:rsidR="00983A3E">
        <w:rPr>
          <w:rFonts w:ascii="Garamond" w:hAnsi="Garamond"/>
        </w:rPr>
        <w:t xml:space="preserve"> The average number of homicides per tract was 2.</w:t>
      </w:r>
      <w:r w:rsidR="008C6330">
        <w:rPr>
          <w:rFonts w:ascii="Garamond" w:hAnsi="Garamond"/>
        </w:rPr>
        <w:t>15</w:t>
      </w:r>
      <w:r w:rsidR="00983A3E">
        <w:rPr>
          <w:rFonts w:ascii="Garamond" w:hAnsi="Garamond"/>
        </w:rPr>
        <w:t xml:space="preserve">, which translates to an average per capita rate of approximately </w:t>
      </w:r>
      <w:r w:rsidR="00A17672">
        <w:rPr>
          <w:rFonts w:ascii="Garamond" w:hAnsi="Garamond"/>
        </w:rPr>
        <w:t>58.1</w:t>
      </w:r>
      <w:r w:rsidR="00983A3E">
        <w:rPr>
          <w:rFonts w:ascii="Garamond" w:hAnsi="Garamond"/>
        </w:rPr>
        <w:t xml:space="preserve"> per 100,000 residents</w:t>
      </w:r>
      <w:r w:rsidR="00A17672">
        <w:rPr>
          <w:rFonts w:ascii="Garamond" w:hAnsi="Garamond"/>
        </w:rPr>
        <w:t xml:space="preserve"> pooled over the </w:t>
      </w:r>
      <w:r w:rsidR="008431AB">
        <w:rPr>
          <w:rFonts w:ascii="Garamond" w:hAnsi="Garamond"/>
        </w:rPr>
        <w:t>five-year</w:t>
      </w:r>
      <w:r w:rsidR="00A17672">
        <w:rPr>
          <w:rFonts w:ascii="Garamond" w:hAnsi="Garamond"/>
        </w:rPr>
        <w:t xml:space="preserve"> period</w:t>
      </w:r>
      <w:r w:rsidR="00983A3E">
        <w:rPr>
          <w:rFonts w:ascii="Garamond" w:hAnsi="Garamond"/>
        </w:rPr>
        <w:t xml:space="preserve">. </w:t>
      </w:r>
      <w:r w:rsidR="001F4C1C">
        <w:rPr>
          <w:rFonts w:ascii="Garamond" w:hAnsi="Garamond"/>
        </w:rPr>
        <w:t xml:space="preserve"> </w:t>
      </w:r>
      <w:r w:rsidR="00983A3E">
        <w:rPr>
          <w:rFonts w:ascii="Garamond" w:hAnsi="Garamond"/>
        </w:rPr>
        <w:t>This average, however, belies the spatial concentration of homicides in American cities</w:t>
      </w:r>
      <w:r w:rsidR="001F4C1C">
        <w:rPr>
          <w:rFonts w:ascii="Garamond" w:hAnsi="Garamond"/>
        </w:rPr>
        <w:t xml:space="preserve"> </w:t>
      </w:r>
      <w:r w:rsidR="00103497">
        <w:rPr>
          <w:rFonts w:ascii="Garamond" w:hAnsi="Garamond"/>
        </w:rPr>
        <w:t>–</w:t>
      </w:r>
      <w:r w:rsidR="00203381">
        <w:rPr>
          <w:rFonts w:ascii="Garamond" w:hAnsi="Garamond"/>
        </w:rPr>
        <w:t xml:space="preserve"> </w:t>
      </w:r>
      <w:r w:rsidR="001F4C1C">
        <w:rPr>
          <w:rFonts w:ascii="Garamond" w:hAnsi="Garamond"/>
        </w:rPr>
        <w:t>ten percent of tracts were responsible for 50% of all homicides</w:t>
      </w:r>
      <w:r w:rsidR="00203381">
        <w:rPr>
          <w:rFonts w:ascii="Garamond" w:hAnsi="Garamond"/>
        </w:rPr>
        <w:t xml:space="preserve"> during this timeframe,</w:t>
      </w:r>
      <w:r w:rsidR="001F4C1C">
        <w:rPr>
          <w:rFonts w:ascii="Garamond" w:hAnsi="Garamond"/>
        </w:rPr>
        <w:t xml:space="preserve"> and the median count across tracts was 1</w:t>
      </w:r>
      <w:r w:rsidR="00983A3E">
        <w:rPr>
          <w:rFonts w:ascii="Garamond" w:hAnsi="Garamond"/>
        </w:rPr>
        <w:t xml:space="preserve"> (IQR: 0;3)</w:t>
      </w:r>
      <w:r w:rsidR="001F4C1C">
        <w:rPr>
          <w:rFonts w:ascii="Garamond" w:hAnsi="Garamond"/>
        </w:rPr>
        <w:t xml:space="preserve">. </w:t>
      </w:r>
      <w:r w:rsidR="00170B4C">
        <w:rPr>
          <w:rFonts w:ascii="Garamond" w:hAnsi="Garamond"/>
        </w:rPr>
        <w:t xml:space="preserve">Figure </w:t>
      </w:r>
      <w:r w:rsidR="008824EA">
        <w:rPr>
          <w:rFonts w:ascii="Garamond" w:hAnsi="Garamond"/>
        </w:rPr>
        <w:t>1</w:t>
      </w:r>
      <w:r w:rsidR="00170B4C">
        <w:rPr>
          <w:rFonts w:ascii="Garamond" w:hAnsi="Garamond"/>
        </w:rPr>
        <w:t xml:space="preserve"> presents the bivariate correlations between firearm homicide </w:t>
      </w:r>
      <w:r w:rsidR="006C13F4">
        <w:rPr>
          <w:rFonts w:ascii="Garamond" w:hAnsi="Garamond"/>
        </w:rPr>
        <w:t>rates</w:t>
      </w:r>
      <w:r w:rsidR="00843E79">
        <w:rPr>
          <w:rFonts w:ascii="Garamond" w:hAnsi="Garamond"/>
        </w:rPr>
        <w:t>, the</w:t>
      </w:r>
      <w:r w:rsidR="00170B4C">
        <w:rPr>
          <w:rFonts w:ascii="Garamond" w:hAnsi="Garamond"/>
        </w:rPr>
        <w:t xml:space="preserve"> composite measures of SVI, </w:t>
      </w:r>
      <w:r w:rsidR="008F6C5C">
        <w:rPr>
          <w:rFonts w:ascii="Garamond" w:hAnsi="Garamond"/>
        </w:rPr>
        <w:t>its</w:t>
      </w:r>
      <w:r w:rsidR="00170B4C">
        <w:rPr>
          <w:rFonts w:ascii="Garamond" w:hAnsi="Garamond"/>
        </w:rPr>
        <w:t xml:space="preserve"> four sub</w:t>
      </w:r>
      <w:r w:rsidR="008F6C5C">
        <w:rPr>
          <w:rFonts w:ascii="Garamond" w:hAnsi="Garamond"/>
        </w:rPr>
        <w:t>themes</w:t>
      </w:r>
      <w:r w:rsidR="00170B4C">
        <w:rPr>
          <w:rFonts w:ascii="Garamond" w:hAnsi="Garamond"/>
        </w:rPr>
        <w:t xml:space="preserve">, and the </w:t>
      </w:r>
      <w:r w:rsidR="001527BC">
        <w:rPr>
          <w:rFonts w:ascii="Garamond" w:hAnsi="Garamond"/>
        </w:rPr>
        <w:t>C</w:t>
      </w:r>
      <w:r w:rsidR="00170B4C">
        <w:rPr>
          <w:rFonts w:ascii="Garamond" w:hAnsi="Garamond"/>
        </w:rPr>
        <w:t xml:space="preserve">DI. For ease of interpretability, negative correlations are highlighted </w:t>
      </w:r>
      <w:r w:rsidR="00170B4C" w:rsidRPr="00203381">
        <w:rPr>
          <w:rFonts w:ascii="Garamond" w:hAnsi="Garamond"/>
        </w:rPr>
        <w:t xml:space="preserve">in </w:t>
      </w:r>
      <w:r w:rsidR="00AA74FE">
        <w:rPr>
          <w:rFonts w:ascii="Garamond" w:hAnsi="Garamond"/>
        </w:rPr>
        <w:t>brown</w:t>
      </w:r>
      <w:r w:rsidR="00170B4C" w:rsidRPr="00203381">
        <w:rPr>
          <w:rFonts w:ascii="Garamond" w:hAnsi="Garamond"/>
        </w:rPr>
        <w:t xml:space="preserve">, positive correlations in </w:t>
      </w:r>
      <w:r w:rsidR="00AA74FE">
        <w:rPr>
          <w:rFonts w:ascii="Garamond" w:hAnsi="Garamond"/>
        </w:rPr>
        <w:t>green</w:t>
      </w:r>
      <w:r w:rsidR="00170B4C" w:rsidRPr="00203381">
        <w:rPr>
          <w:rFonts w:ascii="Garamond" w:hAnsi="Garamond"/>
        </w:rPr>
        <w:t>.</w:t>
      </w:r>
      <w:r w:rsidR="00170B4C">
        <w:rPr>
          <w:rFonts w:ascii="Garamond" w:hAnsi="Garamond"/>
        </w:rPr>
        <w:t xml:space="preserve"> The darker</w:t>
      </w:r>
      <w:r w:rsidR="009C4974">
        <w:rPr>
          <w:rFonts w:ascii="Garamond" w:hAnsi="Garamond"/>
        </w:rPr>
        <w:t xml:space="preserve"> and more </w:t>
      </w:r>
      <w:proofErr w:type="spellStart"/>
      <w:r w:rsidR="009C4974">
        <w:rPr>
          <w:rFonts w:ascii="Garamond" w:hAnsi="Garamond"/>
        </w:rPr>
        <w:t>prolated</w:t>
      </w:r>
      <w:proofErr w:type="spellEnd"/>
      <w:r w:rsidR="00170B4C">
        <w:rPr>
          <w:rFonts w:ascii="Garamond" w:hAnsi="Garamond"/>
        </w:rPr>
        <w:t xml:space="preserve"> the circle, the stronger the correlation.</w:t>
      </w:r>
      <w:r w:rsidR="00843E79" w:rsidRPr="00843E79">
        <w:rPr>
          <w:rFonts w:ascii="Garamond" w:hAnsi="Garamond"/>
        </w:rPr>
        <w:t xml:space="preserve"> </w:t>
      </w:r>
      <w:r w:rsidR="00843E79" w:rsidRPr="005E707E">
        <w:rPr>
          <w:rFonts w:ascii="Garamond" w:hAnsi="Garamond"/>
        </w:rPr>
        <w:t xml:space="preserve">Both the </w:t>
      </w:r>
      <w:r w:rsidR="00203381">
        <w:rPr>
          <w:rFonts w:ascii="Garamond" w:hAnsi="Garamond"/>
        </w:rPr>
        <w:t xml:space="preserve">composite </w:t>
      </w:r>
      <w:r w:rsidR="00843E79">
        <w:rPr>
          <w:rFonts w:ascii="Garamond" w:hAnsi="Garamond"/>
        </w:rPr>
        <w:t>SVI</w:t>
      </w:r>
      <w:r w:rsidR="00203381">
        <w:rPr>
          <w:rFonts w:ascii="Garamond" w:hAnsi="Garamond"/>
        </w:rPr>
        <w:t xml:space="preserve"> (r = .23) </w:t>
      </w:r>
      <w:r w:rsidR="00843E79" w:rsidRPr="005E707E">
        <w:rPr>
          <w:rFonts w:ascii="Garamond" w:hAnsi="Garamond"/>
        </w:rPr>
        <w:t xml:space="preserve">and </w:t>
      </w:r>
      <w:r w:rsidR="00110230">
        <w:rPr>
          <w:rFonts w:ascii="Garamond" w:hAnsi="Garamond"/>
        </w:rPr>
        <w:t xml:space="preserve">national-level </w:t>
      </w:r>
      <w:r w:rsidR="001527BC">
        <w:rPr>
          <w:rFonts w:ascii="Garamond" w:hAnsi="Garamond"/>
        </w:rPr>
        <w:t>CDI</w:t>
      </w:r>
      <w:r w:rsidR="00203381">
        <w:rPr>
          <w:rFonts w:ascii="Garamond" w:hAnsi="Garamond"/>
        </w:rPr>
        <w:t xml:space="preserve"> (r = .</w:t>
      </w:r>
      <w:r w:rsidR="008C6330">
        <w:rPr>
          <w:rFonts w:ascii="Garamond" w:hAnsi="Garamond"/>
        </w:rPr>
        <w:t>37</w:t>
      </w:r>
      <w:r w:rsidR="00203381">
        <w:rPr>
          <w:rFonts w:ascii="Garamond" w:hAnsi="Garamond"/>
        </w:rPr>
        <w:t xml:space="preserve">) are positively </w:t>
      </w:r>
      <w:r w:rsidR="004B7F73">
        <w:rPr>
          <w:rFonts w:ascii="Garamond" w:hAnsi="Garamond"/>
        </w:rPr>
        <w:t>correlated</w:t>
      </w:r>
      <w:r w:rsidR="00203381">
        <w:rPr>
          <w:rFonts w:ascii="Garamond" w:hAnsi="Garamond"/>
        </w:rPr>
        <w:t xml:space="preserve"> with firearm homicides</w:t>
      </w:r>
      <w:r w:rsidR="00843E79" w:rsidRPr="005E707E">
        <w:rPr>
          <w:rFonts w:ascii="Garamond" w:hAnsi="Garamond"/>
        </w:rPr>
        <w:t xml:space="preserve">. The two indices </w:t>
      </w:r>
      <w:r w:rsidR="004B7F73">
        <w:rPr>
          <w:rFonts w:ascii="Garamond" w:hAnsi="Garamond"/>
        </w:rPr>
        <w:t>are</w:t>
      </w:r>
      <w:r w:rsidR="00843E79" w:rsidRPr="005E707E">
        <w:rPr>
          <w:rFonts w:ascii="Garamond" w:hAnsi="Garamond"/>
        </w:rPr>
        <w:t xml:space="preserve"> </w:t>
      </w:r>
      <w:r w:rsidR="00CB7D6E">
        <w:rPr>
          <w:rFonts w:ascii="Garamond" w:hAnsi="Garamond"/>
        </w:rPr>
        <w:t xml:space="preserve">also </w:t>
      </w:r>
      <w:r w:rsidR="00843E79" w:rsidRPr="005E707E">
        <w:rPr>
          <w:rFonts w:ascii="Garamond" w:hAnsi="Garamond"/>
        </w:rPr>
        <w:t>strongly correlated with each other (r=</w:t>
      </w:r>
      <w:r w:rsidR="00843E79">
        <w:rPr>
          <w:rFonts w:ascii="Garamond" w:hAnsi="Garamond"/>
        </w:rPr>
        <w:t>0.</w:t>
      </w:r>
      <w:r w:rsidR="008C6330">
        <w:rPr>
          <w:rFonts w:ascii="Garamond" w:hAnsi="Garamond"/>
        </w:rPr>
        <w:t>71</w:t>
      </w:r>
      <w:r w:rsidR="00843E79" w:rsidRPr="005E707E">
        <w:rPr>
          <w:rFonts w:ascii="Garamond" w:hAnsi="Garamond"/>
        </w:rPr>
        <w:t xml:space="preserve">), reflecting </w:t>
      </w:r>
      <w:r w:rsidR="00203381">
        <w:rPr>
          <w:rFonts w:ascii="Garamond" w:hAnsi="Garamond"/>
        </w:rPr>
        <w:t>a strong</w:t>
      </w:r>
      <w:r w:rsidR="004B7F73">
        <w:rPr>
          <w:rFonts w:ascii="Garamond" w:hAnsi="Garamond"/>
        </w:rPr>
        <w:t xml:space="preserve">, but not </w:t>
      </w:r>
      <w:r w:rsidR="00404D49">
        <w:rPr>
          <w:rFonts w:ascii="Garamond" w:hAnsi="Garamond"/>
        </w:rPr>
        <w:t>complete</w:t>
      </w:r>
      <w:r w:rsidR="00203381">
        <w:rPr>
          <w:rFonts w:ascii="Garamond" w:hAnsi="Garamond"/>
        </w:rPr>
        <w:t xml:space="preserve"> degree of</w:t>
      </w:r>
      <w:r w:rsidR="00843E79" w:rsidRPr="005E707E">
        <w:rPr>
          <w:rFonts w:ascii="Garamond" w:hAnsi="Garamond"/>
        </w:rPr>
        <w:t xml:space="preserve"> conceptual overlap. </w:t>
      </w:r>
      <w:r w:rsidR="00843E79">
        <w:rPr>
          <w:rFonts w:ascii="Garamond" w:hAnsi="Garamond"/>
        </w:rPr>
        <w:t xml:space="preserve">The correlations between </w:t>
      </w:r>
      <w:r w:rsidR="001527BC">
        <w:rPr>
          <w:rFonts w:ascii="Garamond" w:hAnsi="Garamond"/>
        </w:rPr>
        <w:t>CDI</w:t>
      </w:r>
      <w:r w:rsidR="00843E79">
        <w:rPr>
          <w:rFonts w:ascii="Garamond" w:hAnsi="Garamond"/>
        </w:rPr>
        <w:t xml:space="preserve"> and the</w:t>
      </w:r>
      <w:r w:rsidR="00F55E8D">
        <w:rPr>
          <w:rFonts w:ascii="Garamond" w:hAnsi="Garamond"/>
        </w:rPr>
        <w:t xml:space="preserve"> SVI</w:t>
      </w:r>
      <w:r w:rsidR="00843E79">
        <w:rPr>
          <w:rFonts w:ascii="Garamond" w:hAnsi="Garamond"/>
        </w:rPr>
        <w:t xml:space="preserve"> sub</w:t>
      </w:r>
      <w:r w:rsidR="00203381">
        <w:rPr>
          <w:rFonts w:ascii="Garamond" w:hAnsi="Garamond"/>
        </w:rPr>
        <w:t>themes</w:t>
      </w:r>
      <w:r w:rsidR="00843E79">
        <w:rPr>
          <w:rFonts w:ascii="Garamond" w:hAnsi="Garamond"/>
        </w:rPr>
        <w:t xml:space="preserve"> are weaker, ranging from a high of 0.</w:t>
      </w:r>
      <w:r w:rsidR="008C6330">
        <w:rPr>
          <w:rFonts w:ascii="Garamond" w:hAnsi="Garamond"/>
        </w:rPr>
        <w:t xml:space="preserve">74 </w:t>
      </w:r>
      <w:r w:rsidR="00843E79">
        <w:rPr>
          <w:rFonts w:ascii="Garamond" w:hAnsi="Garamond"/>
        </w:rPr>
        <w:t xml:space="preserve">for the </w:t>
      </w:r>
      <w:r w:rsidR="00531E4A">
        <w:rPr>
          <w:rFonts w:ascii="Garamond" w:hAnsi="Garamond"/>
        </w:rPr>
        <w:t>socioeconomic status (</w:t>
      </w:r>
      <w:r w:rsidR="00843E79">
        <w:rPr>
          <w:rFonts w:ascii="Garamond" w:hAnsi="Garamond"/>
        </w:rPr>
        <w:t>SES</w:t>
      </w:r>
      <w:r w:rsidR="00531E4A">
        <w:rPr>
          <w:rFonts w:ascii="Garamond" w:hAnsi="Garamond"/>
        </w:rPr>
        <w:t>)</w:t>
      </w:r>
      <w:r w:rsidR="00843E79">
        <w:rPr>
          <w:rFonts w:ascii="Garamond" w:hAnsi="Garamond"/>
        </w:rPr>
        <w:t xml:space="preserve"> sub</w:t>
      </w:r>
      <w:r w:rsidR="00203381">
        <w:rPr>
          <w:rFonts w:ascii="Garamond" w:hAnsi="Garamond"/>
        </w:rPr>
        <w:t>theme</w:t>
      </w:r>
      <w:r w:rsidR="00843E79">
        <w:rPr>
          <w:rFonts w:ascii="Garamond" w:hAnsi="Garamond"/>
        </w:rPr>
        <w:t xml:space="preserve"> to a low of 0.</w:t>
      </w:r>
      <w:r w:rsidR="008C6330">
        <w:rPr>
          <w:rFonts w:ascii="Garamond" w:hAnsi="Garamond"/>
        </w:rPr>
        <w:t xml:space="preserve">30 </w:t>
      </w:r>
      <w:r w:rsidR="00843E79">
        <w:rPr>
          <w:rFonts w:ascii="Garamond" w:hAnsi="Garamond"/>
        </w:rPr>
        <w:t xml:space="preserve">for the </w:t>
      </w:r>
      <w:r w:rsidR="004B7F73">
        <w:rPr>
          <w:rFonts w:ascii="Garamond" w:hAnsi="Garamond"/>
        </w:rPr>
        <w:t>H</w:t>
      </w:r>
      <w:r w:rsidR="00203381">
        <w:rPr>
          <w:rFonts w:ascii="Garamond" w:hAnsi="Garamond"/>
        </w:rPr>
        <w:t xml:space="preserve">ousing &amp; </w:t>
      </w:r>
      <w:r w:rsidR="004B7F73">
        <w:rPr>
          <w:rFonts w:ascii="Garamond" w:hAnsi="Garamond"/>
        </w:rPr>
        <w:t>T</w:t>
      </w:r>
      <w:r w:rsidR="00843E79">
        <w:rPr>
          <w:rFonts w:ascii="Garamond" w:hAnsi="Garamond"/>
        </w:rPr>
        <w:t>ransportation sub</w:t>
      </w:r>
      <w:r w:rsidR="00203381">
        <w:rPr>
          <w:rFonts w:ascii="Garamond" w:hAnsi="Garamond"/>
        </w:rPr>
        <w:t>theme</w:t>
      </w:r>
      <w:r w:rsidR="00843E79">
        <w:rPr>
          <w:rFonts w:ascii="Garamond" w:hAnsi="Garamond"/>
        </w:rPr>
        <w:t>. The SES sub</w:t>
      </w:r>
      <w:r w:rsidR="00203381">
        <w:rPr>
          <w:rFonts w:ascii="Garamond" w:hAnsi="Garamond"/>
        </w:rPr>
        <w:t>theme</w:t>
      </w:r>
      <w:r w:rsidR="00843E79">
        <w:rPr>
          <w:rFonts w:ascii="Garamond" w:hAnsi="Garamond"/>
        </w:rPr>
        <w:t xml:space="preserve"> was most strongly correlated with firearm homicide</w:t>
      </w:r>
      <w:r w:rsidR="004B7F73">
        <w:rPr>
          <w:rFonts w:ascii="Garamond" w:hAnsi="Garamond"/>
        </w:rPr>
        <w:t>s</w:t>
      </w:r>
      <w:r w:rsidR="00843E79">
        <w:rPr>
          <w:rFonts w:ascii="Garamond" w:hAnsi="Garamond"/>
        </w:rPr>
        <w:t xml:space="preserve"> (r = 0.</w:t>
      </w:r>
      <w:r w:rsidR="008C6330">
        <w:rPr>
          <w:rFonts w:ascii="Garamond" w:hAnsi="Garamond"/>
        </w:rPr>
        <w:t>26</w:t>
      </w:r>
      <w:r w:rsidR="00843E79">
        <w:rPr>
          <w:rFonts w:ascii="Garamond" w:hAnsi="Garamond"/>
        </w:rPr>
        <w:t>), a correlation</w:t>
      </w:r>
      <w:r w:rsidR="004B7F73">
        <w:rPr>
          <w:rFonts w:ascii="Garamond" w:hAnsi="Garamond"/>
        </w:rPr>
        <w:t xml:space="preserve"> that is notably</w:t>
      </w:r>
      <w:r w:rsidR="00843E79">
        <w:rPr>
          <w:rFonts w:ascii="Garamond" w:hAnsi="Garamond"/>
        </w:rPr>
        <w:t xml:space="preserve"> </w:t>
      </w:r>
      <w:r w:rsidR="005B61F8">
        <w:rPr>
          <w:rFonts w:ascii="Garamond" w:hAnsi="Garamond"/>
        </w:rPr>
        <w:t>30</w:t>
      </w:r>
      <w:r w:rsidR="00843E79">
        <w:rPr>
          <w:rFonts w:ascii="Garamond" w:hAnsi="Garamond"/>
        </w:rPr>
        <w:t>% smaller in magnitude than th</w:t>
      </w:r>
      <w:r w:rsidR="004B7F73">
        <w:rPr>
          <w:rFonts w:ascii="Garamond" w:hAnsi="Garamond"/>
        </w:rPr>
        <w:t>at of the</w:t>
      </w:r>
      <w:r w:rsidR="00843E79">
        <w:rPr>
          <w:rFonts w:ascii="Garamond" w:hAnsi="Garamond"/>
        </w:rPr>
        <w:t xml:space="preserve"> </w:t>
      </w:r>
      <w:r w:rsidR="001527BC">
        <w:rPr>
          <w:rFonts w:ascii="Garamond" w:hAnsi="Garamond"/>
        </w:rPr>
        <w:t>CDI</w:t>
      </w:r>
      <w:r w:rsidR="00843E79">
        <w:rPr>
          <w:rFonts w:ascii="Garamond" w:hAnsi="Garamond"/>
        </w:rPr>
        <w:t>.</w:t>
      </w:r>
    </w:p>
    <w:p w14:paraId="1C5B53D9" w14:textId="40017B09" w:rsidR="00CE653E" w:rsidRDefault="00CE653E" w:rsidP="00C028DE">
      <w:pPr>
        <w:spacing w:after="0" w:line="480" w:lineRule="auto"/>
        <w:ind w:firstLine="720"/>
        <w:jc w:val="both"/>
        <w:rPr>
          <w:rFonts w:ascii="Garamond" w:hAnsi="Garamond"/>
        </w:rPr>
      </w:pPr>
      <w:r>
        <w:rPr>
          <w:rFonts w:ascii="Garamond" w:hAnsi="Garamond"/>
        </w:rPr>
        <w:t>Just how extreme are the differences</w:t>
      </w:r>
      <w:r w:rsidR="002E4C28">
        <w:rPr>
          <w:rFonts w:ascii="Garamond" w:hAnsi="Garamond"/>
        </w:rPr>
        <w:t xml:space="preserve"> in the classification of “risk”</w:t>
      </w:r>
      <w:r>
        <w:rPr>
          <w:rFonts w:ascii="Garamond" w:hAnsi="Garamond"/>
        </w:rPr>
        <w:t xml:space="preserve"> between the SVI and </w:t>
      </w:r>
      <w:r w:rsidR="001527BC">
        <w:rPr>
          <w:rFonts w:ascii="Garamond" w:hAnsi="Garamond"/>
        </w:rPr>
        <w:t>CDI</w:t>
      </w:r>
      <w:r>
        <w:rPr>
          <w:rFonts w:ascii="Garamond" w:hAnsi="Garamond"/>
        </w:rPr>
        <w:t>? To examine this, we divided each measure into four quartiles</w:t>
      </w:r>
      <w:r w:rsidR="002E4C28">
        <w:rPr>
          <w:rFonts w:ascii="Garamond" w:hAnsi="Garamond"/>
        </w:rPr>
        <w:t xml:space="preserve"> (from low – high)</w:t>
      </w:r>
      <w:r>
        <w:rPr>
          <w:rFonts w:ascii="Garamond" w:hAnsi="Garamond"/>
        </w:rPr>
        <w:t xml:space="preserve"> and assessed the level of agreement </w:t>
      </w:r>
      <w:r w:rsidR="00D478CD">
        <w:rPr>
          <w:rFonts w:ascii="Garamond" w:hAnsi="Garamond"/>
        </w:rPr>
        <w:t>in</w:t>
      </w:r>
      <w:r>
        <w:rPr>
          <w:rFonts w:ascii="Garamond" w:hAnsi="Garamond"/>
        </w:rPr>
        <w:t xml:space="preserve"> quartiles</w:t>
      </w:r>
      <w:r w:rsidR="00D478CD">
        <w:rPr>
          <w:rFonts w:ascii="Garamond" w:hAnsi="Garamond"/>
        </w:rPr>
        <w:t xml:space="preserve"> across the SVI and </w:t>
      </w:r>
      <w:r w:rsidR="001527BC">
        <w:rPr>
          <w:rFonts w:ascii="Garamond" w:hAnsi="Garamond"/>
        </w:rPr>
        <w:t>CDI</w:t>
      </w:r>
      <w:r>
        <w:rPr>
          <w:rFonts w:ascii="Garamond" w:hAnsi="Garamond"/>
        </w:rPr>
        <w:t xml:space="preserve">. Only </w:t>
      </w:r>
      <w:r w:rsidR="008C6330">
        <w:rPr>
          <w:rFonts w:ascii="Garamond" w:hAnsi="Garamond"/>
        </w:rPr>
        <w:t>61</w:t>
      </w:r>
      <w:r>
        <w:rPr>
          <w:rFonts w:ascii="Garamond" w:hAnsi="Garamond"/>
        </w:rPr>
        <w:t>% of tracts identified as highly vulnerable</w:t>
      </w:r>
      <w:r w:rsidR="00672778">
        <w:rPr>
          <w:rFonts w:ascii="Garamond" w:hAnsi="Garamond"/>
        </w:rPr>
        <w:t xml:space="preserve"> under the SVI</w:t>
      </w:r>
      <w:r>
        <w:rPr>
          <w:rFonts w:ascii="Garamond" w:hAnsi="Garamond"/>
        </w:rPr>
        <w:t xml:space="preserve"> (e.g., top quartile score) </w:t>
      </w:r>
      <w:r w:rsidR="00C41243">
        <w:rPr>
          <w:rFonts w:ascii="Garamond" w:hAnsi="Garamond"/>
        </w:rPr>
        <w:t>were</w:t>
      </w:r>
      <w:r>
        <w:rPr>
          <w:rFonts w:ascii="Garamond" w:hAnsi="Garamond"/>
        </w:rPr>
        <w:t xml:space="preserve"> also identified as highly disadvantaged using the </w:t>
      </w:r>
      <w:r w:rsidR="001527BC">
        <w:rPr>
          <w:rFonts w:ascii="Garamond" w:hAnsi="Garamond"/>
        </w:rPr>
        <w:t>CDI</w:t>
      </w:r>
      <w:r>
        <w:rPr>
          <w:rFonts w:ascii="Garamond" w:hAnsi="Garamond"/>
        </w:rPr>
        <w:t xml:space="preserve">, whereas a surprising </w:t>
      </w:r>
      <w:r w:rsidR="008C6330">
        <w:rPr>
          <w:rFonts w:ascii="Garamond" w:hAnsi="Garamond"/>
        </w:rPr>
        <w:t xml:space="preserve">six </w:t>
      </w:r>
      <w:r>
        <w:rPr>
          <w:rFonts w:ascii="Garamond" w:hAnsi="Garamond"/>
        </w:rPr>
        <w:t>percent of all tracts classified as highly vulnerable under SVI appear</w:t>
      </w:r>
      <w:r w:rsidR="00C41243">
        <w:rPr>
          <w:rFonts w:ascii="Garamond" w:hAnsi="Garamond"/>
        </w:rPr>
        <w:t>ed</w:t>
      </w:r>
      <w:r>
        <w:rPr>
          <w:rFonts w:ascii="Garamond" w:hAnsi="Garamond"/>
        </w:rPr>
        <w:t xml:space="preserve"> in the bottom 50% of </w:t>
      </w:r>
      <w:r w:rsidR="00D34F60">
        <w:rPr>
          <w:rFonts w:ascii="Garamond" w:hAnsi="Garamond"/>
        </w:rPr>
        <w:t xml:space="preserve">the </w:t>
      </w:r>
      <w:r w:rsidR="001527BC">
        <w:rPr>
          <w:rFonts w:ascii="Garamond" w:hAnsi="Garamond"/>
        </w:rPr>
        <w:t>CDI</w:t>
      </w:r>
      <w:r>
        <w:rPr>
          <w:rFonts w:ascii="Garamond" w:hAnsi="Garamond"/>
        </w:rPr>
        <w:t xml:space="preserve">. Thus, tracts identified as highly vulnerable under the SVI framework are </w:t>
      </w:r>
      <w:r w:rsidR="00495DA7">
        <w:rPr>
          <w:rFonts w:ascii="Garamond" w:hAnsi="Garamond"/>
        </w:rPr>
        <w:t>not one and the same as</w:t>
      </w:r>
      <w:r w:rsidR="00286299">
        <w:rPr>
          <w:rFonts w:ascii="Garamond" w:hAnsi="Garamond"/>
        </w:rPr>
        <w:t xml:space="preserve"> those </w:t>
      </w:r>
      <w:r>
        <w:rPr>
          <w:rFonts w:ascii="Garamond" w:hAnsi="Garamond"/>
        </w:rPr>
        <w:t>identified as high</w:t>
      </w:r>
      <w:r w:rsidR="00874A9A">
        <w:rPr>
          <w:rFonts w:ascii="Garamond" w:hAnsi="Garamond"/>
        </w:rPr>
        <w:t>-</w:t>
      </w:r>
      <w:r>
        <w:rPr>
          <w:rFonts w:ascii="Garamond" w:hAnsi="Garamond"/>
        </w:rPr>
        <w:t xml:space="preserve">risk using </w:t>
      </w:r>
      <w:r w:rsidR="002E4C28">
        <w:rPr>
          <w:rFonts w:ascii="Garamond" w:hAnsi="Garamond"/>
        </w:rPr>
        <w:t>the CDI</w:t>
      </w:r>
      <w:r>
        <w:rPr>
          <w:rFonts w:ascii="Garamond" w:hAnsi="Garamond"/>
        </w:rPr>
        <w:t xml:space="preserve">. Indeed, there is only a </w:t>
      </w:r>
      <w:r w:rsidR="008C6330">
        <w:rPr>
          <w:rFonts w:ascii="Garamond" w:hAnsi="Garamond"/>
        </w:rPr>
        <w:t>55</w:t>
      </w:r>
      <w:r>
        <w:rPr>
          <w:rFonts w:ascii="Garamond" w:hAnsi="Garamond"/>
        </w:rPr>
        <w:t xml:space="preserve">% </w:t>
      </w:r>
      <w:r>
        <w:rPr>
          <w:rFonts w:ascii="Garamond" w:hAnsi="Garamond"/>
        </w:rPr>
        <w:lastRenderedPageBreak/>
        <w:t xml:space="preserve">convergence in the quartile assignment under the </w:t>
      </w:r>
      <w:r w:rsidR="00CB7D6E">
        <w:rPr>
          <w:rFonts w:ascii="Garamond" w:hAnsi="Garamond"/>
        </w:rPr>
        <w:t>two measurement</w:t>
      </w:r>
      <w:r>
        <w:rPr>
          <w:rFonts w:ascii="Garamond" w:hAnsi="Garamond"/>
        </w:rPr>
        <w:t xml:space="preserve"> schemes</w:t>
      </w:r>
      <w:r w:rsidR="008942DE">
        <w:rPr>
          <w:rFonts w:ascii="Garamond" w:hAnsi="Garamond"/>
        </w:rPr>
        <w:t>, highlighting the vastly different assessment of community risk under the</w:t>
      </w:r>
      <w:r w:rsidR="001F4C1C">
        <w:rPr>
          <w:rFonts w:ascii="Garamond" w:hAnsi="Garamond"/>
        </w:rPr>
        <w:t>se</w:t>
      </w:r>
      <w:r w:rsidR="008942DE">
        <w:rPr>
          <w:rFonts w:ascii="Garamond" w:hAnsi="Garamond"/>
        </w:rPr>
        <w:t xml:space="preserve"> competing frameworks. </w:t>
      </w:r>
    </w:p>
    <w:p w14:paraId="266520E9" w14:textId="77777777" w:rsidR="00206E8A" w:rsidRDefault="00206E8A" w:rsidP="00843E79">
      <w:pPr>
        <w:spacing w:after="0" w:line="240" w:lineRule="auto"/>
        <w:ind w:firstLine="720"/>
        <w:jc w:val="both"/>
        <w:rPr>
          <w:rFonts w:ascii="Garamond" w:hAnsi="Garamond"/>
        </w:rPr>
      </w:pPr>
    </w:p>
    <w:p w14:paraId="4080BBC1" w14:textId="4FA2F043" w:rsidR="00206E8A" w:rsidRPr="00206E8A" w:rsidRDefault="00206E8A" w:rsidP="00206E8A">
      <w:pPr>
        <w:spacing w:after="0" w:line="240" w:lineRule="auto"/>
        <w:jc w:val="center"/>
        <w:rPr>
          <w:rFonts w:ascii="Garamond" w:hAnsi="Garamond"/>
          <w:b/>
          <w:bCs/>
        </w:rPr>
      </w:pPr>
      <w:r w:rsidRPr="00206E8A">
        <w:rPr>
          <w:rFonts w:ascii="Garamond" w:hAnsi="Garamond"/>
          <w:b/>
          <w:bCs/>
        </w:rPr>
        <w:t>[Figure 2 Here]</w:t>
      </w:r>
    </w:p>
    <w:p w14:paraId="5FDD9066" w14:textId="77777777" w:rsidR="00206E8A" w:rsidRDefault="00206E8A" w:rsidP="00843E79">
      <w:pPr>
        <w:spacing w:after="0" w:line="240" w:lineRule="auto"/>
        <w:ind w:firstLine="720"/>
        <w:jc w:val="both"/>
        <w:rPr>
          <w:rFonts w:ascii="Garamond" w:hAnsi="Garamond"/>
        </w:rPr>
      </w:pPr>
    </w:p>
    <w:p w14:paraId="1BE1BE3C" w14:textId="5BA83BCF" w:rsidR="00843E79" w:rsidRDefault="00435069" w:rsidP="00C028DE">
      <w:pPr>
        <w:spacing w:after="0" w:line="480" w:lineRule="auto"/>
        <w:ind w:firstLine="720"/>
        <w:jc w:val="both"/>
        <w:rPr>
          <w:rFonts w:ascii="Garamond" w:hAnsi="Garamond"/>
        </w:rPr>
      </w:pPr>
      <w:r>
        <w:rPr>
          <w:rFonts w:ascii="Garamond" w:hAnsi="Garamond"/>
        </w:rPr>
        <w:t xml:space="preserve">Figure </w:t>
      </w:r>
      <w:r w:rsidR="00206E8A">
        <w:rPr>
          <w:rFonts w:ascii="Garamond" w:hAnsi="Garamond"/>
        </w:rPr>
        <w:t>2</w:t>
      </w:r>
      <w:r>
        <w:rPr>
          <w:rFonts w:ascii="Garamond" w:hAnsi="Garamond"/>
        </w:rPr>
        <w:t xml:space="preserve"> presents the bivariate correlations between each of the constituent items comprising the SVI. </w:t>
      </w:r>
      <w:r w:rsidR="00170B4C">
        <w:rPr>
          <w:rFonts w:ascii="Garamond" w:hAnsi="Garamond"/>
        </w:rPr>
        <w:t xml:space="preserve">The interpretation of the coloring and shading are the same as with Figure 1. </w:t>
      </w:r>
      <w:r>
        <w:rPr>
          <w:rFonts w:ascii="Garamond" w:hAnsi="Garamond"/>
        </w:rPr>
        <w:t>As demonstrated here</w:t>
      </w:r>
      <w:r w:rsidR="00843E79">
        <w:rPr>
          <w:rFonts w:ascii="Garamond" w:hAnsi="Garamond"/>
        </w:rPr>
        <w:t xml:space="preserve">, the individual SVI items demonstrate considerable variation in association with each other and with firearm homicide. For instance, the measures of </w:t>
      </w:r>
      <w:r w:rsidR="00D95795">
        <w:rPr>
          <w:rFonts w:ascii="Garamond" w:hAnsi="Garamond"/>
        </w:rPr>
        <w:t xml:space="preserve">English language proficiency </w:t>
      </w:r>
      <w:r w:rsidR="00DA05B5">
        <w:rPr>
          <w:rFonts w:ascii="Garamond" w:hAnsi="Garamond"/>
        </w:rPr>
        <w:t xml:space="preserve">and </w:t>
      </w:r>
      <w:r w:rsidR="0037295B">
        <w:rPr>
          <w:rFonts w:ascii="Garamond" w:hAnsi="Garamond"/>
        </w:rPr>
        <w:t>multi-unit</w:t>
      </w:r>
      <w:r w:rsidR="00DA05B5">
        <w:rPr>
          <w:rFonts w:ascii="Garamond" w:hAnsi="Garamond"/>
        </w:rPr>
        <w:t xml:space="preserve"> housing are negatively associated with homicide rates across tracts. </w:t>
      </w:r>
      <w:r w:rsidR="0037295B">
        <w:rPr>
          <w:rFonts w:ascii="Garamond" w:hAnsi="Garamond"/>
        </w:rPr>
        <w:t>Ten</w:t>
      </w:r>
      <w:r w:rsidR="00DA05B5">
        <w:rPr>
          <w:rFonts w:ascii="Garamond" w:hAnsi="Garamond"/>
        </w:rPr>
        <w:t xml:space="preserve"> items demonstrate very weak correlations with </w:t>
      </w:r>
      <w:r w:rsidR="0037295B">
        <w:rPr>
          <w:rFonts w:ascii="Garamond" w:hAnsi="Garamond"/>
        </w:rPr>
        <w:t>tract-level homicide counts</w:t>
      </w:r>
      <w:r w:rsidR="00DA05B5">
        <w:rPr>
          <w:rFonts w:ascii="Garamond" w:hAnsi="Garamond"/>
        </w:rPr>
        <w:t xml:space="preserve"> (r &lt; 0.2), suggesting that </w:t>
      </w:r>
      <w:r w:rsidR="0037295B">
        <w:rPr>
          <w:rFonts w:ascii="Garamond" w:hAnsi="Garamond"/>
        </w:rPr>
        <w:t>more than</w:t>
      </w:r>
      <w:r w:rsidR="00DA05B5">
        <w:rPr>
          <w:rFonts w:ascii="Garamond" w:hAnsi="Garamond"/>
        </w:rPr>
        <w:t xml:space="preserve"> half of the items comprising the SVI are orthogonal to the concentration of firearm violence in American cities. This suggests that the inclusion of such items</w:t>
      </w:r>
      <w:r w:rsidR="002E4C28">
        <w:rPr>
          <w:rFonts w:ascii="Garamond" w:hAnsi="Garamond"/>
        </w:rPr>
        <w:t xml:space="preserve"> into any metric of “community risk”</w:t>
      </w:r>
      <w:r w:rsidR="00DA05B5">
        <w:rPr>
          <w:rFonts w:ascii="Garamond" w:hAnsi="Garamond"/>
        </w:rPr>
        <w:t xml:space="preserve"> introduces unnecessary noise into the composite measure. The weak, and in some cases negative association</w:t>
      </w:r>
      <w:r w:rsidR="00B41C81">
        <w:rPr>
          <w:rFonts w:ascii="Garamond" w:hAnsi="Garamond"/>
        </w:rPr>
        <w:t>s</w:t>
      </w:r>
      <w:r w:rsidR="00DA05B5">
        <w:rPr>
          <w:rFonts w:ascii="Garamond" w:hAnsi="Garamond"/>
        </w:rPr>
        <w:t xml:space="preserve"> between the items portend weak internal consistency, calling into question</w:t>
      </w:r>
      <w:r w:rsidR="0037295B">
        <w:rPr>
          <w:rFonts w:ascii="Garamond" w:hAnsi="Garamond"/>
        </w:rPr>
        <w:t xml:space="preserve"> the</w:t>
      </w:r>
      <w:r w:rsidR="00DA05B5">
        <w:rPr>
          <w:rFonts w:ascii="Garamond" w:hAnsi="Garamond"/>
        </w:rPr>
        <w:t xml:space="preserve"> reliability</w:t>
      </w:r>
      <w:r w:rsidR="0037295B">
        <w:rPr>
          <w:rFonts w:ascii="Garamond" w:hAnsi="Garamond"/>
        </w:rPr>
        <w:t xml:space="preserve"> of the SVI</w:t>
      </w:r>
      <w:r w:rsidR="00DA05B5">
        <w:rPr>
          <w:rFonts w:ascii="Garamond" w:hAnsi="Garamond"/>
        </w:rPr>
        <w:t xml:space="preserve">. </w:t>
      </w:r>
    </w:p>
    <w:p w14:paraId="2E5A2719" w14:textId="10DF6E7B" w:rsidR="00206E8A" w:rsidRDefault="00B41C81" w:rsidP="00DB6E03">
      <w:pPr>
        <w:spacing w:after="0" w:line="480" w:lineRule="auto"/>
        <w:ind w:firstLine="720"/>
        <w:jc w:val="both"/>
        <w:rPr>
          <w:rFonts w:ascii="Garamond" w:hAnsi="Garamond"/>
        </w:rPr>
      </w:pPr>
      <w:r>
        <w:rPr>
          <w:rFonts w:ascii="Garamond" w:hAnsi="Garamond"/>
        </w:rPr>
        <w:t>T</w:t>
      </w:r>
      <w:r w:rsidR="00E50BDF">
        <w:rPr>
          <w:rFonts w:ascii="Garamond" w:hAnsi="Garamond"/>
        </w:rPr>
        <w:t xml:space="preserve">he results of </w:t>
      </w:r>
      <w:r w:rsidR="008F6C5C">
        <w:rPr>
          <w:rFonts w:ascii="Garamond" w:hAnsi="Garamond"/>
        </w:rPr>
        <w:t>a formal</w:t>
      </w:r>
      <w:r w:rsidR="00E50BDF">
        <w:rPr>
          <w:rFonts w:ascii="Garamond" w:hAnsi="Garamond"/>
        </w:rPr>
        <w:t xml:space="preserve"> reliability analys</w:t>
      </w:r>
      <w:r w:rsidR="008F6C5C">
        <w:rPr>
          <w:rFonts w:ascii="Garamond" w:hAnsi="Garamond"/>
        </w:rPr>
        <w:t>i</w:t>
      </w:r>
      <w:r w:rsidR="00E50BDF">
        <w:rPr>
          <w:rFonts w:ascii="Garamond" w:hAnsi="Garamond"/>
        </w:rPr>
        <w:t>s reveal</w:t>
      </w:r>
      <w:r w:rsidR="008F6C5C">
        <w:rPr>
          <w:rFonts w:ascii="Garamond" w:hAnsi="Garamond"/>
        </w:rPr>
        <w:t xml:space="preserve"> </w:t>
      </w:r>
      <w:bookmarkStart w:id="1" w:name="OLE_LINK1"/>
      <w:r w:rsidR="00811E9F">
        <w:rPr>
          <w:rFonts w:ascii="Garamond" w:hAnsi="Garamond"/>
        </w:rPr>
        <w:t>Cronbach’s</w:t>
      </w:r>
      <w:r w:rsidR="00E50BDF">
        <w:rPr>
          <w:rFonts w:ascii="Garamond" w:hAnsi="Garamond"/>
        </w:rPr>
        <w:t xml:space="preserve"> alpha </w:t>
      </w:r>
      <w:bookmarkEnd w:id="1"/>
      <w:r w:rsidR="00E50BDF">
        <w:rPr>
          <w:rFonts w:ascii="Garamond" w:hAnsi="Garamond"/>
        </w:rPr>
        <w:t>of 0.</w:t>
      </w:r>
      <w:r w:rsidR="008030FD">
        <w:rPr>
          <w:rFonts w:ascii="Garamond" w:hAnsi="Garamond"/>
        </w:rPr>
        <w:t>75</w:t>
      </w:r>
      <w:r w:rsidR="00E50BDF">
        <w:rPr>
          <w:rFonts w:ascii="Garamond" w:hAnsi="Garamond"/>
        </w:rPr>
        <w:t xml:space="preserve"> for the composite </w:t>
      </w:r>
      <w:r w:rsidR="00113F0E">
        <w:rPr>
          <w:rFonts w:ascii="Garamond" w:hAnsi="Garamond"/>
        </w:rPr>
        <w:t xml:space="preserve">SVI </w:t>
      </w:r>
      <w:r w:rsidR="00E50BDF">
        <w:rPr>
          <w:rFonts w:ascii="Garamond" w:hAnsi="Garamond"/>
        </w:rPr>
        <w:t>scale. Of course, alpha is driven by the number of items in the scale</w:t>
      </w:r>
      <w:r w:rsidR="00917FA1">
        <w:rPr>
          <w:rFonts w:ascii="Garamond" w:hAnsi="Garamond"/>
        </w:rPr>
        <w:t>,</w:t>
      </w:r>
      <w:r w:rsidR="008F6C5C">
        <w:rPr>
          <w:rFonts w:ascii="Garamond" w:hAnsi="Garamond"/>
        </w:rPr>
        <w:t xml:space="preserve"> and</w:t>
      </w:r>
      <w:r w:rsidR="008353DC">
        <w:rPr>
          <w:rFonts w:ascii="Garamond" w:hAnsi="Garamond"/>
        </w:rPr>
        <w:t xml:space="preserve"> </w:t>
      </w:r>
      <w:r w:rsidR="008F6C5C">
        <w:rPr>
          <w:rFonts w:ascii="Garamond" w:hAnsi="Garamond"/>
        </w:rPr>
        <w:t>t</w:t>
      </w:r>
      <w:r w:rsidR="008353DC">
        <w:rPr>
          <w:rFonts w:ascii="Garamond" w:hAnsi="Garamond"/>
        </w:rPr>
        <w:t xml:space="preserve">o achieve an alpha of </w:t>
      </w:r>
      <w:r w:rsidR="00917FA1">
        <w:rPr>
          <w:rFonts w:ascii="Garamond" w:hAnsi="Garamond"/>
        </w:rPr>
        <w:t>0</w:t>
      </w:r>
      <w:r w:rsidR="008353DC">
        <w:rPr>
          <w:rFonts w:ascii="Garamond" w:hAnsi="Garamond"/>
        </w:rPr>
        <w:t>.7</w:t>
      </w:r>
      <w:r w:rsidR="008030FD">
        <w:rPr>
          <w:rFonts w:ascii="Garamond" w:hAnsi="Garamond"/>
        </w:rPr>
        <w:t>5</w:t>
      </w:r>
      <w:r w:rsidR="008353DC">
        <w:rPr>
          <w:rFonts w:ascii="Garamond" w:hAnsi="Garamond"/>
        </w:rPr>
        <w:t xml:space="preserve"> with </w:t>
      </w:r>
      <w:r w:rsidR="00874A9A">
        <w:rPr>
          <w:rFonts w:ascii="Garamond" w:hAnsi="Garamond"/>
        </w:rPr>
        <w:t>sixteen</w:t>
      </w:r>
      <w:r w:rsidR="008353DC">
        <w:rPr>
          <w:rFonts w:ascii="Garamond" w:hAnsi="Garamond"/>
        </w:rPr>
        <w:t xml:space="preserve"> items requires</w:t>
      </w:r>
      <w:r w:rsidR="00E50BDF">
        <w:rPr>
          <w:rFonts w:ascii="Garamond" w:hAnsi="Garamond"/>
        </w:rPr>
        <w:t xml:space="preserve"> an average </w:t>
      </w:r>
      <w:bookmarkStart w:id="2" w:name="OLE_LINK2"/>
      <w:r w:rsidR="00E50BDF">
        <w:rPr>
          <w:rFonts w:ascii="Garamond" w:hAnsi="Garamond"/>
        </w:rPr>
        <w:t>inter-item correlation</w:t>
      </w:r>
      <w:r w:rsidR="008030FD">
        <w:rPr>
          <w:rFonts w:ascii="Garamond" w:hAnsi="Garamond"/>
        </w:rPr>
        <w:t xml:space="preserve"> </w:t>
      </w:r>
      <w:bookmarkEnd w:id="2"/>
      <w:r w:rsidR="00E50BDF">
        <w:rPr>
          <w:rFonts w:ascii="Garamond" w:hAnsi="Garamond"/>
        </w:rPr>
        <w:t xml:space="preserve">of </w:t>
      </w:r>
      <w:r w:rsidR="008030FD">
        <w:rPr>
          <w:rFonts w:ascii="Garamond" w:hAnsi="Garamond"/>
        </w:rPr>
        <w:t>0.19</w:t>
      </w:r>
      <w:r w:rsidR="008F6C5C">
        <w:rPr>
          <w:rFonts w:ascii="Garamond" w:hAnsi="Garamond"/>
        </w:rPr>
        <w:t xml:space="preserve">. This </w:t>
      </w:r>
      <w:r w:rsidR="00471AFF">
        <w:rPr>
          <w:rFonts w:ascii="Garamond" w:hAnsi="Garamond"/>
        </w:rPr>
        <w:t>indicates</w:t>
      </w:r>
      <w:r w:rsidR="008F6C5C">
        <w:rPr>
          <w:rFonts w:ascii="Garamond" w:hAnsi="Garamond"/>
        </w:rPr>
        <w:t xml:space="preserve"> that the composite alpha </w:t>
      </w:r>
      <w:r w:rsidR="008353DC">
        <w:rPr>
          <w:rFonts w:ascii="Garamond" w:hAnsi="Garamond"/>
        </w:rPr>
        <w:t xml:space="preserve">is driven by a </w:t>
      </w:r>
      <w:r w:rsidR="00874A9A">
        <w:rPr>
          <w:rFonts w:ascii="Garamond" w:hAnsi="Garamond"/>
        </w:rPr>
        <w:t>considerable</w:t>
      </w:r>
      <w:r w:rsidR="00AB6744">
        <w:rPr>
          <w:rFonts w:ascii="Garamond" w:hAnsi="Garamond"/>
        </w:rPr>
        <w:t xml:space="preserve"> number</w:t>
      </w:r>
      <w:r w:rsidR="008353DC">
        <w:rPr>
          <w:rFonts w:ascii="Garamond" w:hAnsi="Garamond"/>
        </w:rPr>
        <w:t xml:space="preserve"> of weakly correlated items</w:t>
      </w:r>
      <w:r w:rsidR="002E4C28">
        <w:rPr>
          <w:rFonts w:ascii="Garamond" w:hAnsi="Garamond"/>
        </w:rPr>
        <w:t>, a point which is clearly illustrated in Figure 2</w:t>
      </w:r>
      <w:r w:rsidR="00E50BDF">
        <w:rPr>
          <w:rFonts w:ascii="Garamond" w:hAnsi="Garamond"/>
        </w:rPr>
        <w:t xml:space="preserve">. The alpha for the SES subscale is approximately 0.79, </w:t>
      </w:r>
      <w:r w:rsidR="008F6C5C">
        <w:rPr>
          <w:rFonts w:ascii="Garamond" w:hAnsi="Garamond"/>
        </w:rPr>
        <w:t>it</w:t>
      </w:r>
      <w:r w:rsidR="00E50BDF">
        <w:rPr>
          <w:rFonts w:ascii="Garamond" w:hAnsi="Garamond"/>
        </w:rPr>
        <w:t xml:space="preserve"> drops to 0.4</w:t>
      </w:r>
      <w:r w:rsidR="008030FD">
        <w:rPr>
          <w:rFonts w:ascii="Garamond" w:hAnsi="Garamond"/>
        </w:rPr>
        <w:t>5</w:t>
      </w:r>
      <w:r w:rsidR="00E50BDF">
        <w:rPr>
          <w:rFonts w:ascii="Garamond" w:hAnsi="Garamond"/>
        </w:rPr>
        <w:t xml:space="preserve"> for the </w:t>
      </w:r>
      <w:r w:rsidR="002E4C28">
        <w:rPr>
          <w:rFonts w:ascii="Garamond" w:hAnsi="Garamond"/>
        </w:rPr>
        <w:t>H</w:t>
      </w:r>
      <w:r w:rsidR="00E50BDF">
        <w:rPr>
          <w:rFonts w:ascii="Garamond" w:hAnsi="Garamond"/>
        </w:rPr>
        <w:t xml:space="preserve">ousehold </w:t>
      </w:r>
      <w:r w:rsidR="002E4C28">
        <w:rPr>
          <w:rFonts w:ascii="Garamond" w:hAnsi="Garamond"/>
        </w:rPr>
        <w:t>C</w:t>
      </w:r>
      <w:r w:rsidR="00E50BDF">
        <w:rPr>
          <w:rFonts w:ascii="Garamond" w:hAnsi="Garamond"/>
        </w:rPr>
        <w:t>omposition subscale, and 0.4</w:t>
      </w:r>
      <w:r w:rsidR="008030FD">
        <w:rPr>
          <w:rFonts w:ascii="Garamond" w:hAnsi="Garamond"/>
        </w:rPr>
        <w:t>0</w:t>
      </w:r>
      <w:r w:rsidR="00E50BDF">
        <w:rPr>
          <w:rFonts w:ascii="Garamond" w:hAnsi="Garamond"/>
        </w:rPr>
        <w:t xml:space="preserve"> for the </w:t>
      </w:r>
      <w:r w:rsidR="002E4C28">
        <w:rPr>
          <w:rFonts w:ascii="Garamond" w:hAnsi="Garamond"/>
        </w:rPr>
        <w:t>H</w:t>
      </w:r>
      <w:r w:rsidR="00E50BDF">
        <w:rPr>
          <w:rFonts w:ascii="Garamond" w:hAnsi="Garamond"/>
        </w:rPr>
        <w:t xml:space="preserve">ousing and </w:t>
      </w:r>
      <w:r w:rsidR="002E4C28">
        <w:rPr>
          <w:rFonts w:ascii="Garamond" w:hAnsi="Garamond"/>
        </w:rPr>
        <w:t>T</w:t>
      </w:r>
      <w:r w:rsidR="00E50BDF">
        <w:rPr>
          <w:rFonts w:ascii="Garamond" w:hAnsi="Garamond"/>
        </w:rPr>
        <w:t>ransportation domain.</w:t>
      </w:r>
      <w:r w:rsidR="00E50BDF">
        <w:rPr>
          <w:rStyle w:val="FootnoteReference"/>
          <w:rFonts w:ascii="Garamond" w:hAnsi="Garamond"/>
        </w:rPr>
        <w:footnoteReference w:id="10"/>
      </w:r>
      <w:r w:rsidR="00E50BDF">
        <w:rPr>
          <w:rFonts w:ascii="Garamond" w:hAnsi="Garamond"/>
        </w:rPr>
        <w:t xml:space="preserve"> </w:t>
      </w:r>
      <w:r w:rsidR="00D604E8">
        <w:rPr>
          <w:rFonts w:ascii="Garamond" w:hAnsi="Garamond"/>
        </w:rPr>
        <w:t>The results of a principal components analysis suggest the 16 items comprising the composite index load on five factors, as evidenced by Eigenvalues greater than 1.0</w:t>
      </w:r>
      <w:r w:rsidR="008F6C5C">
        <w:rPr>
          <w:rFonts w:ascii="Garamond" w:hAnsi="Garamond"/>
        </w:rPr>
        <w:t>. These five factors</w:t>
      </w:r>
      <w:r w:rsidR="00D604E8">
        <w:rPr>
          <w:rFonts w:ascii="Garamond" w:hAnsi="Garamond"/>
        </w:rPr>
        <w:t xml:space="preserve"> collectively explain 70 percent of the variance across items. The SES, </w:t>
      </w:r>
      <w:r w:rsidR="002E4C28">
        <w:rPr>
          <w:rFonts w:ascii="Garamond" w:hAnsi="Garamond"/>
        </w:rPr>
        <w:t>H</w:t>
      </w:r>
      <w:r w:rsidR="00D604E8">
        <w:rPr>
          <w:rFonts w:ascii="Garamond" w:hAnsi="Garamond"/>
        </w:rPr>
        <w:t xml:space="preserve">ousehold, and </w:t>
      </w:r>
      <w:r w:rsidR="002E4C28">
        <w:rPr>
          <w:rFonts w:ascii="Garamond" w:hAnsi="Garamond"/>
        </w:rPr>
        <w:t>Housing &amp; T</w:t>
      </w:r>
      <w:r w:rsidR="00D604E8">
        <w:rPr>
          <w:rFonts w:ascii="Garamond" w:hAnsi="Garamond"/>
        </w:rPr>
        <w:t>ransportation sub</w:t>
      </w:r>
      <w:r w:rsidR="002E4C28">
        <w:rPr>
          <w:rFonts w:ascii="Garamond" w:hAnsi="Garamond"/>
        </w:rPr>
        <w:t xml:space="preserve">themes </w:t>
      </w:r>
      <w:r w:rsidR="00D604E8">
        <w:rPr>
          <w:rFonts w:ascii="Garamond" w:hAnsi="Garamond"/>
        </w:rPr>
        <w:t xml:space="preserve">load on </w:t>
      </w:r>
      <w:r w:rsidR="00D604E8">
        <w:rPr>
          <w:rFonts w:ascii="Garamond" w:hAnsi="Garamond"/>
        </w:rPr>
        <w:lastRenderedPageBreak/>
        <w:t xml:space="preserve">two factors each. Collectively, these results </w:t>
      </w:r>
      <w:r w:rsidR="008F6C5C">
        <w:rPr>
          <w:rFonts w:ascii="Garamond" w:hAnsi="Garamond"/>
        </w:rPr>
        <w:t>provide further evidence that</w:t>
      </w:r>
      <w:r w:rsidR="00336930">
        <w:rPr>
          <w:rFonts w:ascii="Garamond" w:hAnsi="Garamond"/>
        </w:rPr>
        <w:t xml:space="preserve"> combin</w:t>
      </w:r>
      <w:r w:rsidR="00EC2AB6">
        <w:rPr>
          <w:rFonts w:ascii="Garamond" w:hAnsi="Garamond"/>
        </w:rPr>
        <w:t>ing</w:t>
      </w:r>
      <w:r w:rsidR="00336930">
        <w:rPr>
          <w:rFonts w:ascii="Garamond" w:hAnsi="Garamond"/>
        </w:rPr>
        <w:t xml:space="preserve"> these items</w:t>
      </w:r>
      <w:r w:rsidR="00D604E8">
        <w:rPr>
          <w:rFonts w:ascii="Garamond" w:hAnsi="Garamond"/>
        </w:rPr>
        <w:t xml:space="preserve"> into a composite measure or into</w:t>
      </w:r>
      <w:r w:rsidR="00F54807">
        <w:rPr>
          <w:rFonts w:ascii="Garamond" w:hAnsi="Garamond"/>
        </w:rPr>
        <w:t xml:space="preserve"> </w:t>
      </w:r>
      <w:r w:rsidR="007E0910">
        <w:rPr>
          <w:rFonts w:ascii="Garamond" w:hAnsi="Garamond"/>
        </w:rPr>
        <w:t>various</w:t>
      </w:r>
      <w:r w:rsidR="00D604E8">
        <w:rPr>
          <w:rFonts w:ascii="Garamond" w:hAnsi="Garamond"/>
        </w:rPr>
        <w:t xml:space="preserve"> subscales</w:t>
      </w:r>
      <w:r w:rsidR="00EC2AB6">
        <w:rPr>
          <w:rFonts w:ascii="Garamond" w:hAnsi="Garamond"/>
        </w:rPr>
        <w:t xml:space="preserve"> i</w:t>
      </w:r>
      <w:r w:rsidR="00086205">
        <w:rPr>
          <w:rFonts w:ascii="Garamond" w:hAnsi="Garamond"/>
        </w:rPr>
        <w:t>s</w:t>
      </w:r>
      <w:r w:rsidR="00EC2AB6">
        <w:rPr>
          <w:rFonts w:ascii="Garamond" w:hAnsi="Garamond"/>
        </w:rPr>
        <w:t xml:space="preserve"> problematic</w:t>
      </w:r>
      <w:r w:rsidR="00D604E8">
        <w:rPr>
          <w:rFonts w:ascii="Garamond" w:hAnsi="Garamond"/>
        </w:rPr>
        <w:t xml:space="preserve">. </w:t>
      </w:r>
      <w:r w:rsidR="00EC2AB6">
        <w:rPr>
          <w:rFonts w:ascii="Garamond" w:hAnsi="Garamond"/>
        </w:rPr>
        <w:t>CDI</w:t>
      </w:r>
      <w:r w:rsidR="00D604E8">
        <w:rPr>
          <w:rFonts w:ascii="Garamond" w:hAnsi="Garamond"/>
        </w:rPr>
        <w:t xml:space="preserve">, on the other </w:t>
      </w:r>
      <w:r w:rsidR="00F54807">
        <w:rPr>
          <w:rFonts w:ascii="Garamond" w:hAnsi="Garamond"/>
        </w:rPr>
        <w:t>hand,</w:t>
      </w:r>
      <w:r w:rsidR="00CB0B89">
        <w:rPr>
          <w:rFonts w:ascii="Garamond" w:hAnsi="Garamond"/>
        </w:rPr>
        <w:t xml:space="preserve"> demonstrates </w:t>
      </w:r>
      <w:r w:rsidR="008431AB">
        <w:rPr>
          <w:rFonts w:ascii="Garamond" w:hAnsi="Garamond"/>
        </w:rPr>
        <w:t>strong</w:t>
      </w:r>
      <w:r w:rsidR="00DA7374">
        <w:rPr>
          <w:rFonts w:ascii="Garamond" w:hAnsi="Garamond"/>
        </w:rPr>
        <w:t xml:space="preserve"> </w:t>
      </w:r>
      <w:r w:rsidR="00CB0B89">
        <w:rPr>
          <w:rFonts w:ascii="Garamond" w:hAnsi="Garamond"/>
        </w:rPr>
        <w:t>internal reliability</w:t>
      </w:r>
      <w:r w:rsidR="00DA7374">
        <w:rPr>
          <w:rFonts w:ascii="Garamond" w:hAnsi="Garamond"/>
        </w:rPr>
        <w:t xml:space="preserve"> given the small number of items</w:t>
      </w:r>
      <w:r w:rsidR="00CB0B89">
        <w:rPr>
          <w:rFonts w:ascii="Garamond" w:hAnsi="Garamond"/>
        </w:rPr>
        <w:t xml:space="preserve"> (</w:t>
      </w:r>
      <w:r w:rsidR="00CB0B89" w:rsidRPr="008431AB">
        <w:rPr>
          <w:rFonts w:ascii="Garamond" w:hAnsi="Garamond"/>
        </w:rPr>
        <w:t>alpha = 0</w:t>
      </w:r>
      <w:r w:rsidR="007E0910" w:rsidRPr="008431AB">
        <w:rPr>
          <w:rFonts w:ascii="Garamond" w:hAnsi="Garamond"/>
        </w:rPr>
        <w:t>.</w:t>
      </w:r>
      <w:r w:rsidR="008431AB" w:rsidRPr="008431AB">
        <w:rPr>
          <w:rFonts w:ascii="Garamond" w:hAnsi="Garamond"/>
        </w:rPr>
        <w:t>73</w:t>
      </w:r>
      <w:r w:rsidR="00CB0B89">
        <w:rPr>
          <w:rFonts w:ascii="Garamond" w:hAnsi="Garamond"/>
        </w:rPr>
        <w:t>) and load</w:t>
      </w:r>
      <w:r w:rsidR="00DA7374">
        <w:rPr>
          <w:rFonts w:ascii="Garamond" w:hAnsi="Garamond"/>
        </w:rPr>
        <w:t>s</w:t>
      </w:r>
      <w:r w:rsidR="00CB0B89">
        <w:rPr>
          <w:rFonts w:ascii="Garamond" w:hAnsi="Garamond"/>
        </w:rPr>
        <w:t xml:space="preserve"> on a single factor</w:t>
      </w:r>
      <w:r w:rsidR="00F54807">
        <w:rPr>
          <w:rFonts w:ascii="Garamond" w:hAnsi="Garamond"/>
        </w:rPr>
        <w:t>,</w:t>
      </w:r>
      <w:r w:rsidR="005E54A2">
        <w:rPr>
          <w:rFonts w:ascii="Garamond" w:hAnsi="Garamond"/>
        </w:rPr>
        <w:t xml:space="preserve"> which explains approximately </w:t>
      </w:r>
      <w:r w:rsidR="00DA7374">
        <w:rPr>
          <w:rFonts w:ascii="Garamond" w:hAnsi="Garamond"/>
        </w:rPr>
        <w:t>55</w:t>
      </w:r>
      <w:r w:rsidR="005E54A2">
        <w:rPr>
          <w:rFonts w:ascii="Garamond" w:hAnsi="Garamond"/>
        </w:rPr>
        <w:t>% of the shared variance across items.</w:t>
      </w:r>
      <w:r w:rsidR="007E0910">
        <w:rPr>
          <w:rFonts w:ascii="Garamond" w:hAnsi="Garamond"/>
        </w:rPr>
        <w:t xml:space="preserve"> Importantly, the CDI is constructed from just </w:t>
      </w:r>
      <w:r w:rsidR="00DA7374">
        <w:rPr>
          <w:rFonts w:ascii="Garamond" w:hAnsi="Garamond"/>
        </w:rPr>
        <w:t xml:space="preserve">four </w:t>
      </w:r>
      <w:r w:rsidR="007E0910">
        <w:rPr>
          <w:rFonts w:ascii="Garamond" w:hAnsi="Garamond"/>
        </w:rPr>
        <w:t>items meaning that the average iter-item correlation</w:t>
      </w:r>
      <w:r w:rsidR="00113F0E">
        <w:rPr>
          <w:rFonts w:ascii="Garamond" w:hAnsi="Garamond"/>
        </w:rPr>
        <w:t xml:space="preserve"> (r = 0.</w:t>
      </w:r>
      <w:r w:rsidR="00DA7374">
        <w:rPr>
          <w:rFonts w:ascii="Garamond" w:hAnsi="Garamond"/>
        </w:rPr>
        <w:t>4</w:t>
      </w:r>
      <w:r w:rsidR="008431AB">
        <w:rPr>
          <w:rFonts w:ascii="Garamond" w:hAnsi="Garamond"/>
        </w:rPr>
        <w:t>0</w:t>
      </w:r>
      <w:r w:rsidR="00113F0E">
        <w:rPr>
          <w:rFonts w:ascii="Garamond" w:hAnsi="Garamond"/>
        </w:rPr>
        <w:t>)</w:t>
      </w:r>
      <w:r w:rsidR="007E0910">
        <w:rPr>
          <w:rFonts w:ascii="Garamond" w:hAnsi="Garamond"/>
        </w:rPr>
        <w:t xml:space="preserve"> </w:t>
      </w:r>
      <w:r w:rsidR="00113F0E">
        <w:rPr>
          <w:rFonts w:ascii="Garamond" w:hAnsi="Garamond"/>
        </w:rPr>
        <w:t>is</w:t>
      </w:r>
      <w:r w:rsidR="00DC1571">
        <w:rPr>
          <w:rFonts w:ascii="Garamond" w:hAnsi="Garamond"/>
        </w:rPr>
        <w:t xml:space="preserve"> much</w:t>
      </w:r>
      <w:r w:rsidR="007E0910">
        <w:rPr>
          <w:rFonts w:ascii="Garamond" w:hAnsi="Garamond"/>
        </w:rPr>
        <w:t xml:space="preserve"> </w:t>
      </w:r>
      <w:r w:rsidR="00AB6744">
        <w:rPr>
          <w:rFonts w:ascii="Garamond" w:hAnsi="Garamond"/>
        </w:rPr>
        <w:t>larger</w:t>
      </w:r>
      <w:r w:rsidR="007E0910">
        <w:rPr>
          <w:rFonts w:ascii="Garamond" w:hAnsi="Garamond"/>
        </w:rPr>
        <w:t xml:space="preserve"> than </w:t>
      </w:r>
      <w:r w:rsidR="002E4C28">
        <w:rPr>
          <w:rFonts w:ascii="Garamond" w:hAnsi="Garamond"/>
        </w:rPr>
        <w:t xml:space="preserve">that of </w:t>
      </w:r>
      <w:r w:rsidR="007E0910">
        <w:rPr>
          <w:rFonts w:ascii="Garamond" w:hAnsi="Garamond"/>
        </w:rPr>
        <w:t>the composite SVI</w:t>
      </w:r>
      <w:r w:rsidR="00DA7374" w:rsidRPr="00DA7374">
        <w:rPr>
          <w:rFonts w:ascii="Garamond" w:hAnsi="Garamond"/>
        </w:rPr>
        <w:t xml:space="preserve"> </w:t>
      </w:r>
      <w:r w:rsidR="00506F62">
        <w:rPr>
          <w:rFonts w:ascii="Garamond" w:hAnsi="Garamond"/>
        </w:rPr>
        <w:t xml:space="preserve">to achieve an alpha similar in magnitude. </w:t>
      </w:r>
    </w:p>
    <w:p w14:paraId="6F5BB472" w14:textId="351B6439" w:rsidR="00206E8A" w:rsidRPr="00206E8A" w:rsidRDefault="00206E8A" w:rsidP="00206E8A">
      <w:pPr>
        <w:spacing w:after="0" w:line="240" w:lineRule="auto"/>
        <w:jc w:val="center"/>
        <w:rPr>
          <w:rFonts w:ascii="Garamond" w:hAnsi="Garamond"/>
          <w:b/>
          <w:bCs/>
        </w:rPr>
      </w:pPr>
      <w:r w:rsidRPr="00206E8A">
        <w:rPr>
          <w:rFonts w:ascii="Garamond" w:hAnsi="Garamond"/>
          <w:b/>
          <w:bCs/>
        </w:rPr>
        <w:t>[Table 2 Here]</w:t>
      </w:r>
    </w:p>
    <w:p w14:paraId="56A7E719" w14:textId="77777777" w:rsidR="00206E8A" w:rsidRPr="005E707E" w:rsidRDefault="00206E8A" w:rsidP="00CB0B89">
      <w:pPr>
        <w:spacing w:after="0" w:line="240" w:lineRule="auto"/>
        <w:ind w:firstLine="720"/>
        <w:jc w:val="both"/>
        <w:rPr>
          <w:rFonts w:ascii="Garamond" w:hAnsi="Garamond"/>
        </w:rPr>
      </w:pPr>
    </w:p>
    <w:p w14:paraId="574032DC" w14:textId="373B449A" w:rsidR="00651614" w:rsidRDefault="005E707E" w:rsidP="00C028DE">
      <w:pPr>
        <w:spacing w:after="0" w:line="480" w:lineRule="auto"/>
        <w:ind w:firstLine="720"/>
        <w:jc w:val="both"/>
        <w:rPr>
          <w:rFonts w:ascii="Garamond" w:hAnsi="Garamond"/>
        </w:rPr>
      </w:pPr>
      <w:r w:rsidRPr="005E707E">
        <w:rPr>
          <w:rFonts w:ascii="Garamond" w:hAnsi="Garamond"/>
        </w:rPr>
        <w:t xml:space="preserve">Table </w:t>
      </w:r>
      <w:r w:rsidR="00EC2AB6">
        <w:rPr>
          <w:rFonts w:ascii="Garamond" w:hAnsi="Garamond"/>
        </w:rPr>
        <w:t>2</w:t>
      </w:r>
      <w:r w:rsidRPr="005E707E">
        <w:rPr>
          <w:rFonts w:ascii="Garamond" w:hAnsi="Garamond"/>
        </w:rPr>
        <w:t xml:space="preserve"> summarizes the </w:t>
      </w:r>
      <w:r w:rsidR="003F09D6">
        <w:rPr>
          <w:rFonts w:ascii="Garamond" w:hAnsi="Garamond"/>
        </w:rPr>
        <w:t xml:space="preserve">pooled </w:t>
      </w:r>
      <w:r w:rsidRPr="005E707E">
        <w:rPr>
          <w:rFonts w:ascii="Garamond" w:hAnsi="Garamond"/>
        </w:rPr>
        <w:t xml:space="preserve">cross-sectional </w:t>
      </w:r>
      <w:r w:rsidR="0006085C">
        <w:rPr>
          <w:rFonts w:ascii="Garamond" w:hAnsi="Garamond"/>
        </w:rPr>
        <w:t>negative binomial regress</w:t>
      </w:r>
      <w:r w:rsidR="001527BC">
        <w:rPr>
          <w:rFonts w:ascii="Garamond" w:hAnsi="Garamond"/>
        </w:rPr>
        <w:t>ion</w:t>
      </w:r>
      <w:r w:rsidR="0006085C">
        <w:rPr>
          <w:rFonts w:ascii="Garamond" w:hAnsi="Garamond"/>
        </w:rPr>
        <w:t xml:space="preserve"> </w:t>
      </w:r>
      <w:r w:rsidRPr="005E707E">
        <w:rPr>
          <w:rFonts w:ascii="Garamond" w:hAnsi="Garamond"/>
        </w:rPr>
        <w:t xml:space="preserve">models predicting firearm homicide </w:t>
      </w:r>
      <w:r w:rsidR="00C909B5">
        <w:rPr>
          <w:rFonts w:ascii="Garamond" w:hAnsi="Garamond"/>
        </w:rPr>
        <w:t>counts</w:t>
      </w:r>
      <w:r w:rsidR="00BE1DD1">
        <w:rPr>
          <w:rFonts w:ascii="Garamond" w:hAnsi="Garamond"/>
        </w:rPr>
        <w:t xml:space="preserve"> by the composite SVI measure and the four subthemes</w:t>
      </w:r>
      <w:r w:rsidRPr="005E707E">
        <w:rPr>
          <w:rFonts w:ascii="Garamond" w:hAnsi="Garamond"/>
        </w:rPr>
        <w:t xml:space="preserve">. In Model 1, </w:t>
      </w:r>
      <w:r w:rsidR="002B7113">
        <w:rPr>
          <w:rFonts w:ascii="Garamond" w:hAnsi="Garamond"/>
        </w:rPr>
        <w:t xml:space="preserve">the IRR on </w:t>
      </w:r>
      <w:r w:rsidRPr="005E707E">
        <w:rPr>
          <w:rFonts w:ascii="Garamond" w:hAnsi="Garamond"/>
        </w:rPr>
        <w:t xml:space="preserve">SVI </w:t>
      </w:r>
      <w:r w:rsidR="002B7113">
        <w:rPr>
          <w:rFonts w:ascii="Garamond" w:hAnsi="Garamond"/>
        </w:rPr>
        <w:t xml:space="preserve">was </w:t>
      </w:r>
      <w:r w:rsidR="00BE1DD1">
        <w:rPr>
          <w:rFonts w:ascii="Garamond" w:hAnsi="Garamond"/>
        </w:rPr>
        <w:t>14.06</w:t>
      </w:r>
      <w:r w:rsidR="002B7113">
        <w:rPr>
          <w:rFonts w:ascii="Garamond" w:hAnsi="Garamond"/>
        </w:rPr>
        <w:t xml:space="preserve"> (CI:</w:t>
      </w:r>
      <w:r w:rsidR="00CB1FFF">
        <w:rPr>
          <w:rFonts w:ascii="Garamond" w:hAnsi="Garamond" w:hint="eastAsia"/>
          <w:lang w:eastAsia="ko-KR"/>
        </w:rPr>
        <w:t>9.60</w:t>
      </w:r>
      <w:r w:rsidR="002D6876">
        <w:rPr>
          <w:rFonts w:ascii="Garamond" w:hAnsi="Garamond" w:hint="eastAsia"/>
          <w:lang w:eastAsia="ko-KR"/>
        </w:rPr>
        <w:t>; 20.60</w:t>
      </w:r>
      <w:r w:rsidR="002B7113">
        <w:rPr>
          <w:rFonts w:ascii="Garamond" w:hAnsi="Garamond"/>
        </w:rPr>
        <w:t xml:space="preserve">), which, given the scaling of the index, suggests that counts of firearm homicide are </w:t>
      </w:r>
      <w:r w:rsidR="00BE1DD1">
        <w:rPr>
          <w:rFonts w:ascii="Garamond" w:hAnsi="Garamond"/>
        </w:rPr>
        <w:t>approximately 14</w:t>
      </w:r>
      <w:r w:rsidR="002B7113">
        <w:rPr>
          <w:rFonts w:ascii="Garamond" w:hAnsi="Garamond"/>
        </w:rPr>
        <w:t xml:space="preserve"> times higher in the most vulnerable tracts relative to the least vulnerable tracts</w:t>
      </w:r>
      <w:r w:rsidRPr="005E707E">
        <w:rPr>
          <w:rFonts w:ascii="Garamond" w:hAnsi="Garamond"/>
        </w:rPr>
        <w:t>.</w:t>
      </w:r>
      <w:r w:rsidR="00AD008B">
        <w:rPr>
          <w:rStyle w:val="FootnoteReference"/>
          <w:rFonts w:ascii="Garamond" w:hAnsi="Garamond"/>
        </w:rPr>
        <w:footnoteReference w:id="11"/>
      </w:r>
      <w:r w:rsidRPr="005E707E">
        <w:rPr>
          <w:rFonts w:ascii="Garamond" w:hAnsi="Garamond"/>
        </w:rPr>
        <w:t xml:space="preserve"> Model 2 substituted </w:t>
      </w:r>
      <w:r w:rsidR="00651614">
        <w:rPr>
          <w:rFonts w:ascii="Garamond" w:hAnsi="Garamond"/>
        </w:rPr>
        <w:t>the SVI subtheme for the composite SVI measure. As demonstrated here, the IRR is considerably stronger – the expected counts of firearm violence are approximately 20 times higher in the most socioeconomically disadvantaged tracts relative to the least (CI:</w:t>
      </w:r>
      <w:r w:rsidR="009B61BE">
        <w:rPr>
          <w:rFonts w:ascii="Garamond" w:hAnsi="Garamond" w:hint="eastAsia"/>
          <w:lang w:eastAsia="ko-KR"/>
        </w:rPr>
        <w:t>16.15; 30.51</w:t>
      </w:r>
      <w:r w:rsidR="00651614">
        <w:rPr>
          <w:rFonts w:ascii="Garamond" w:hAnsi="Garamond"/>
        </w:rPr>
        <w:t xml:space="preserve">). The household subtheme, presented in Model 3, suggests a much more modest relationship, as rates of firearm homicide are approximately </w:t>
      </w:r>
      <w:r w:rsidR="00575B66">
        <w:rPr>
          <w:rFonts w:ascii="Garamond" w:hAnsi="Garamond"/>
        </w:rPr>
        <w:t xml:space="preserve">four </w:t>
      </w:r>
      <w:r w:rsidR="00651614">
        <w:rPr>
          <w:rFonts w:ascii="Garamond" w:hAnsi="Garamond"/>
        </w:rPr>
        <w:t xml:space="preserve">times higher in the most vulnerable tracts in this domain relative to the least. </w:t>
      </w:r>
      <w:r w:rsidRPr="005E707E">
        <w:rPr>
          <w:rFonts w:ascii="Garamond" w:hAnsi="Garamond"/>
        </w:rPr>
        <w:t xml:space="preserve"> </w:t>
      </w:r>
      <w:r w:rsidR="00651614">
        <w:rPr>
          <w:rFonts w:ascii="Garamond" w:hAnsi="Garamond"/>
        </w:rPr>
        <w:t xml:space="preserve">Model </w:t>
      </w:r>
      <w:r w:rsidR="00AA39DB">
        <w:rPr>
          <w:rFonts w:ascii="Garamond" w:hAnsi="Garamond"/>
        </w:rPr>
        <w:t xml:space="preserve">4 </w:t>
      </w:r>
      <w:r w:rsidR="00651614">
        <w:rPr>
          <w:rFonts w:ascii="Garamond" w:hAnsi="Garamond"/>
        </w:rPr>
        <w:t xml:space="preserve">comports with most research on American violence, suggesting that firearm violence is heavily concentrated in minority neighborhoods. Model 5 reveals no significant association between the Housing/Transportation subtheme and the concentration of </w:t>
      </w:r>
      <w:r w:rsidR="00651614">
        <w:rPr>
          <w:rFonts w:ascii="Garamond" w:hAnsi="Garamond"/>
        </w:rPr>
        <w:lastRenderedPageBreak/>
        <w:t>firearm homicide. The model fit statistics suggest that the SES subtheme provides the best fit to tract-level firearm violence, with the highest pseudo-R</w:t>
      </w:r>
      <w:r w:rsidR="00651614" w:rsidRPr="00651614">
        <w:rPr>
          <w:rFonts w:ascii="Garamond" w:hAnsi="Garamond"/>
          <w:vertAlign w:val="superscript"/>
        </w:rPr>
        <w:t>2</w:t>
      </w:r>
      <w:r w:rsidR="00651614">
        <w:rPr>
          <w:rFonts w:ascii="Garamond" w:hAnsi="Garamond"/>
        </w:rPr>
        <w:t xml:space="preserve"> and the lowest AIC and BIC statistics. </w:t>
      </w:r>
      <w:r w:rsidR="00354873">
        <w:rPr>
          <w:rStyle w:val="FootnoteReference"/>
          <w:rFonts w:ascii="Garamond" w:hAnsi="Garamond"/>
        </w:rPr>
        <w:footnoteReference w:id="12"/>
      </w:r>
    </w:p>
    <w:p w14:paraId="5AADA63F" w14:textId="77777777" w:rsidR="00206E8A" w:rsidRDefault="00206E8A" w:rsidP="00206E8A">
      <w:pPr>
        <w:spacing w:after="0" w:line="240" w:lineRule="auto"/>
        <w:jc w:val="both"/>
        <w:rPr>
          <w:rFonts w:ascii="Garamond" w:hAnsi="Garamond"/>
        </w:rPr>
      </w:pPr>
    </w:p>
    <w:p w14:paraId="02A6F7CA" w14:textId="3B8ED1A5" w:rsidR="00206E8A" w:rsidRPr="00206E8A" w:rsidRDefault="00206E8A" w:rsidP="00206E8A">
      <w:pPr>
        <w:spacing w:after="0" w:line="240" w:lineRule="auto"/>
        <w:jc w:val="center"/>
        <w:rPr>
          <w:rFonts w:ascii="Garamond" w:hAnsi="Garamond"/>
          <w:b/>
          <w:bCs/>
        </w:rPr>
      </w:pPr>
      <w:r w:rsidRPr="00206E8A">
        <w:rPr>
          <w:rFonts w:ascii="Garamond" w:hAnsi="Garamond"/>
          <w:b/>
          <w:bCs/>
        </w:rPr>
        <w:t>[Table 3 Here]</w:t>
      </w:r>
    </w:p>
    <w:p w14:paraId="7A18D29B" w14:textId="77777777" w:rsidR="00206E8A" w:rsidRDefault="00206E8A" w:rsidP="00206E8A">
      <w:pPr>
        <w:spacing w:after="0" w:line="240" w:lineRule="auto"/>
        <w:jc w:val="both"/>
        <w:rPr>
          <w:rFonts w:ascii="Garamond" w:hAnsi="Garamond"/>
        </w:rPr>
      </w:pPr>
    </w:p>
    <w:p w14:paraId="575D82BA" w14:textId="393BB990" w:rsidR="005A5B5D" w:rsidRDefault="00651614" w:rsidP="00C028DE">
      <w:pPr>
        <w:spacing w:after="0" w:line="480" w:lineRule="auto"/>
        <w:ind w:firstLine="720"/>
        <w:jc w:val="both"/>
        <w:rPr>
          <w:rFonts w:ascii="Garamond" w:hAnsi="Garamond"/>
        </w:rPr>
      </w:pPr>
      <w:r>
        <w:rPr>
          <w:rFonts w:ascii="Garamond" w:hAnsi="Garamond"/>
        </w:rPr>
        <w:t>Table 3 presents the results from the models in which tract-level firearm homicide counts are regressed on the CDI standardized to the national</w:t>
      </w:r>
      <w:r w:rsidR="002A1220">
        <w:rPr>
          <w:rFonts w:ascii="Garamond" w:hAnsi="Garamond"/>
        </w:rPr>
        <w:t xml:space="preserve"> and</w:t>
      </w:r>
      <w:r>
        <w:rPr>
          <w:rFonts w:ascii="Garamond" w:hAnsi="Garamond"/>
        </w:rPr>
        <w:t xml:space="preserve"> state-level (</w:t>
      </w:r>
      <w:r w:rsidR="00B260EF">
        <w:rPr>
          <w:rFonts w:ascii="Garamond" w:hAnsi="Garamond"/>
        </w:rPr>
        <w:t xml:space="preserve">Models 6 – </w:t>
      </w:r>
      <w:r w:rsidR="002A1220">
        <w:rPr>
          <w:rFonts w:ascii="Garamond" w:hAnsi="Garamond"/>
        </w:rPr>
        <w:t>7</w:t>
      </w:r>
      <w:r w:rsidR="00B260EF">
        <w:rPr>
          <w:rFonts w:ascii="Garamond" w:hAnsi="Garamond"/>
        </w:rPr>
        <w:t>, respectively)</w:t>
      </w:r>
      <w:r>
        <w:rPr>
          <w:rFonts w:ascii="Garamond" w:hAnsi="Garamond"/>
        </w:rPr>
        <w:t xml:space="preserve">. </w:t>
      </w:r>
      <w:r w:rsidR="00B260EF">
        <w:rPr>
          <w:rFonts w:ascii="Garamond" w:hAnsi="Garamond"/>
        </w:rPr>
        <w:t xml:space="preserve">The results presented in Model 6 suggest that a one-standard deviation increase in the CDI standardized at the national level is associated with almost </w:t>
      </w:r>
      <w:r w:rsidR="00F339EA">
        <w:rPr>
          <w:rFonts w:ascii="Garamond" w:hAnsi="Garamond"/>
        </w:rPr>
        <w:t xml:space="preserve">2.3 </w:t>
      </w:r>
      <w:r w:rsidR="00747A98">
        <w:rPr>
          <w:rFonts w:ascii="Garamond" w:hAnsi="Garamond"/>
        </w:rPr>
        <w:t>times</w:t>
      </w:r>
      <w:r w:rsidR="00F915CE">
        <w:rPr>
          <w:rFonts w:ascii="Garamond" w:hAnsi="Garamond"/>
        </w:rPr>
        <w:t xml:space="preserve"> (</w:t>
      </w:r>
      <w:r w:rsidR="00AB4E5B">
        <w:rPr>
          <w:rFonts w:ascii="Garamond" w:hAnsi="Garamond"/>
        </w:rPr>
        <w:t>IRR=2.</w:t>
      </w:r>
      <w:r w:rsidR="00F339EA">
        <w:rPr>
          <w:rFonts w:ascii="Garamond" w:hAnsi="Garamond"/>
        </w:rPr>
        <w:t>31</w:t>
      </w:r>
      <w:r w:rsidR="00AB4E5B">
        <w:rPr>
          <w:rFonts w:ascii="Garamond" w:hAnsi="Garamond"/>
        </w:rPr>
        <w:t>, CI:</w:t>
      </w:r>
      <w:r w:rsidR="003A7759">
        <w:rPr>
          <w:rFonts w:ascii="Garamond" w:hAnsi="Garamond"/>
        </w:rPr>
        <w:t>2.</w:t>
      </w:r>
      <w:r w:rsidR="00F339EA">
        <w:rPr>
          <w:rFonts w:ascii="Garamond" w:hAnsi="Garamond"/>
        </w:rPr>
        <w:t>14</w:t>
      </w:r>
      <w:r w:rsidR="00747A98">
        <w:rPr>
          <w:rFonts w:ascii="Garamond" w:hAnsi="Garamond"/>
        </w:rPr>
        <w:t>; 2.</w:t>
      </w:r>
      <w:r w:rsidR="00F339EA">
        <w:rPr>
          <w:rFonts w:ascii="Garamond" w:hAnsi="Garamond"/>
        </w:rPr>
        <w:t>50</w:t>
      </w:r>
      <w:r w:rsidR="00F915CE">
        <w:rPr>
          <w:rFonts w:ascii="Garamond" w:hAnsi="Garamond"/>
        </w:rPr>
        <w:t>) more</w:t>
      </w:r>
      <w:r w:rsidR="00B260EF">
        <w:rPr>
          <w:rFonts w:ascii="Garamond" w:hAnsi="Garamond"/>
        </w:rPr>
        <w:t xml:space="preserve"> tract-level firearm homicides. </w:t>
      </w:r>
      <w:r w:rsidR="00804278">
        <w:rPr>
          <w:rFonts w:ascii="Garamond" w:hAnsi="Garamond"/>
        </w:rPr>
        <w:t>As this measure is also standardized relative to all Census tracts in the United States</w:t>
      </w:r>
      <w:r w:rsidR="00B260EF">
        <w:rPr>
          <w:rFonts w:ascii="Garamond" w:hAnsi="Garamond"/>
        </w:rPr>
        <w:t xml:space="preserve">, </w:t>
      </w:r>
      <w:r w:rsidR="00804278">
        <w:rPr>
          <w:rFonts w:ascii="Garamond" w:hAnsi="Garamond"/>
        </w:rPr>
        <w:t>it is</w:t>
      </w:r>
      <w:r w:rsidR="00B260EF">
        <w:rPr>
          <w:rFonts w:ascii="Garamond" w:hAnsi="Garamond"/>
        </w:rPr>
        <w:t xml:space="preserve"> most closely comparable to the SVI presented in Table 2. Interestingly, the CDI provides a considerably stronger fit to the data than the composite measure of SVI (Table 2, Model 1) </w:t>
      </w:r>
      <w:r w:rsidR="00804278">
        <w:rPr>
          <w:rFonts w:ascii="Garamond" w:hAnsi="Garamond"/>
        </w:rPr>
        <w:t>and</w:t>
      </w:r>
      <w:r w:rsidR="00B260EF">
        <w:rPr>
          <w:rFonts w:ascii="Garamond" w:hAnsi="Garamond"/>
        </w:rPr>
        <w:t xml:space="preserve"> the SES subtheme (Table 2, Model 2</w:t>
      </w:r>
      <w:r w:rsidR="00A17672">
        <w:rPr>
          <w:rFonts w:ascii="Garamond" w:hAnsi="Garamond"/>
        </w:rPr>
        <w:t>)</w:t>
      </w:r>
      <w:r w:rsidR="00B260EF" w:rsidRPr="00A17672">
        <w:rPr>
          <w:rFonts w:ascii="Garamond" w:hAnsi="Garamond"/>
        </w:rPr>
        <w:t>.</w:t>
      </w:r>
      <w:r w:rsidR="00B260EF">
        <w:rPr>
          <w:rFonts w:ascii="Garamond" w:hAnsi="Garamond"/>
        </w:rPr>
        <w:t xml:space="preserve"> </w:t>
      </w:r>
      <w:proofErr w:type="gramStart"/>
      <w:r w:rsidR="00B260EF">
        <w:rPr>
          <w:rFonts w:ascii="Garamond" w:hAnsi="Garamond"/>
        </w:rPr>
        <w:t>On the whole</w:t>
      </w:r>
      <w:proofErr w:type="gramEnd"/>
      <w:r w:rsidR="00B260EF">
        <w:rPr>
          <w:rFonts w:ascii="Garamond" w:hAnsi="Garamond"/>
        </w:rPr>
        <w:t>, the results of these regression models provide</w:t>
      </w:r>
      <w:r w:rsidR="00804278">
        <w:rPr>
          <w:rFonts w:ascii="Garamond" w:hAnsi="Garamond"/>
        </w:rPr>
        <w:t xml:space="preserve"> further</w:t>
      </w:r>
      <w:r w:rsidR="00B260EF">
        <w:rPr>
          <w:rFonts w:ascii="Garamond" w:hAnsi="Garamond"/>
        </w:rPr>
        <w:t xml:space="preserve"> evidence that the CDI is the preferred measure of community risk for firearm violence over the SVI. </w:t>
      </w:r>
      <w:r w:rsidR="008E60DB">
        <w:rPr>
          <w:rFonts w:ascii="Garamond" w:hAnsi="Garamond"/>
        </w:rPr>
        <w:t>T</w:t>
      </w:r>
      <w:r w:rsidR="008E60DB" w:rsidRPr="008E60DB">
        <w:rPr>
          <w:rFonts w:ascii="Garamond" w:hAnsi="Garamond"/>
        </w:rPr>
        <w:t xml:space="preserve">he results also suggest that the Households and Housing and Transportation subthemes of the SVI are weak proxies for community firearm harm, and that their inclusion in the composite SVI </w:t>
      </w:r>
      <w:r w:rsidR="008E60DB">
        <w:rPr>
          <w:rFonts w:ascii="Garamond" w:hAnsi="Garamond"/>
        </w:rPr>
        <w:t>dilutes</w:t>
      </w:r>
      <w:r w:rsidR="008E60DB" w:rsidRPr="008E60DB">
        <w:rPr>
          <w:rFonts w:ascii="Garamond" w:hAnsi="Garamond"/>
        </w:rPr>
        <w:t xml:space="preserve"> its performance as an indicator of firearm risk.</w:t>
      </w:r>
      <w:r w:rsidR="00804278">
        <w:rPr>
          <w:rFonts w:ascii="Garamond" w:hAnsi="Garamond"/>
        </w:rPr>
        <w:t xml:space="preserve"> </w:t>
      </w:r>
      <w:r w:rsidR="002C034D">
        <w:rPr>
          <w:rFonts w:ascii="Garamond" w:hAnsi="Garamond"/>
        </w:rPr>
        <w:t xml:space="preserve">To be </w:t>
      </w:r>
      <w:r w:rsidR="00B43A47">
        <w:rPr>
          <w:rFonts w:ascii="Garamond" w:hAnsi="Garamond"/>
        </w:rPr>
        <w:t>unequivocal on this point</w:t>
      </w:r>
      <w:r w:rsidR="00804278">
        <w:rPr>
          <w:rFonts w:ascii="Garamond" w:hAnsi="Garamond"/>
        </w:rPr>
        <w:t xml:space="preserve">, the CDI, a measure of community socioeconomic disadvantage used in the study of neighborhood violence for decades, exhibits more desirable measurement properties and is more strongly associated with neighborhood firearm violence than the composite SVI or any of its subthemes. </w:t>
      </w:r>
    </w:p>
    <w:p w14:paraId="73F29819" w14:textId="77777777" w:rsidR="00804278" w:rsidRDefault="00804278" w:rsidP="008E60DB">
      <w:pPr>
        <w:spacing w:after="0" w:line="240" w:lineRule="auto"/>
        <w:ind w:firstLine="720"/>
        <w:jc w:val="both"/>
        <w:rPr>
          <w:rFonts w:ascii="Garamond" w:hAnsi="Garamond"/>
        </w:rPr>
      </w:pPr>
    </w:p>
    <w:p w14:paraId="2B815F2B" w14:textId="77777777" w:rsidR="008E60DB" w:rsidRDefault="008E60DB" w:rsidP="008918A0">
      <w:pPr>
        <w:spacing w:after="0" w:line="240" w:lineRule="auto"/>
        <w:jc w:val="both"/>
        <w:rPr>
          <w:rFonts w:ascii="Garamond" w:hAnsi="Garamond"/>
          <w:b/>
          <w:bCs/>
        </w:rPr>
      </w:pPr>
    </w:p>
    <w:p w14:paraId="2677BBBA" w14:textId="26DDF15E" w:rsidR="005E707E" w:rsidRDefault="005E707E" w:rsidP="008918A0">
      <w:pPr>
        <w:spacing w:after="0" w:line="240" w:lineRule="auto"/>
        <w:jc w:val="both"/>
        <w:rPr>
          <w:rFonts w:ascii="Garamond" w:hAnsi="Garamond"/>
          <w:b/>
          <w:bCs/>
        </w:rPr>
      </w:pPr>
      <w:r w:rsidRPr="005E707E">
        <w:rPr>
          <w:rFonts w:ascii="Garamond" w:hAnsi="Garamond"/>
          <w:b/>
          <w:bCs/>
        </w:rPr>
        <w:t>DISCUSSION</w:t>
      </w:r>
    </w:p>
    <w:p w14:paraId="783C5616" w14:textId="77777777" w:rsidR="00344DA9" w:rsidRPr="005E707E" w:rsidRDefault="00344DA9" w:rsidP="008918A0">
      <w:pPr>
        <w:spacing w:after="0" w:line="240" w:lineRule="auto"/>
        <w:jc w:val="both"/>
        <w:rPr>
          <w:rFonts w:ascii="Garamond" w:hAnsi="Garamond"/>
          <w:b/>
          <w:bCs/>
        </w:rPr>
      </w:pPr>
    </w:p>
    <w:p w14:paraId="1D9A8D6E" w14:textId="5F938176" w:rsidR="005E707E" w:rsidRPr="00DA3FCE" w:rsidRDefault="005E707E" w:rsidP="00C028DE">
      <w:pPr>
        <w:spacing w:after="0" w:line="480" w:lineRule="auto"/>
        <w:ind w:firstLine="720"/>
        <w:jc w:val="both"/>
        <w:rPr>
          <w:rFonts w:ascii="Garamond" w:hAnsi="Garamond"/>
        </w:rPr>
      </w:pPr>
      <w:r w:rsidRPr="005E707E">
        <w:rPr>
          <w:rFonts w:ascii="Garamond" w:hAnsi="Garamond"/>
        </w:rPr>
        <w:lastRenderedPageBreak/>
        <w:t xml:space="preserve">This study examined the </w:t>
      </w:r>
      <w:r w:rsidR="008E60DB">
        <w:rPr>
          <w:rFonts w:ascii="Garamond" w:hAnsi="Garamond"/>
        </w:rPr>
        <w:t xml:space="preserve">association between the </w:t>
      </w:r>
      <w:r w:rsidRPr="005E707E">
        <w:rPr>
          <w:rFonts w:ascii="Garamond" w:hAnsi="Garamond"/>
        </w:rPr>
        <w:t xml:space="preserve">Social Vulnerability Index (SVI) </w:t>
      </w:r>
      <w:r w:rsidR="008E60DB">
        <w:rPr>
          <w:rFonts w:ascii="Garamond" w:hAnsi="Garamond"/>
        </w:rPr>
        <w:t>and</w:t>
      </w:r>
      <w:r w:rsidRPr="005E707E">
        <w:rPr>
          <w:rFonts w:ascii="Garamond" w:hAnsi="Garamond"/>
        </w:rPr>
        <w:t xml:space="preserve"> </w:t>
      </w:r>
      <w:r w:rsidR="002D18D9">
        <w:rPr>
          <w:rFonts w:ascii="Garamond" w:hAnsi="Garamond"/>
        </w:rPr>
        <w:t xml:space="preserve">community </w:t>
      </w:r>
      <w:r w:rsidRPr="005E707E">
        <w:rPr>
          <w:rFonts w:ascii="Garamond" w:hAnsi="Garamond"/>
        </w:rPr>
        <w:t xml:space="preserve">firearm violence </w:t>
      </w:r>
      <w:r w:rsidR="0078768E">
        <w:rPr>
          <w:rFonts w:ascii="Garamond" w:hAnsi="Garamond"/>
        </w:rPr>
        <w:t xml:space="preserve">in </w:t>
      </w:r>
      <w:r w:rsidR="00880B2F">
        <w:rPr>
          <w:rFonts w:ascii="Garamond" w:hAnsi="Garamond" w:hint="eastAsia"/>
          <w:lang w:eastAsia="ko-KR"/>
        </w:rPr>
        <w:t>84</w:t>
      </w:r>
      <w:r w:rsidR="00880B2F">
        <w:rPr>
          <w:rFonts w:ascii="Garamond" w:hAnsi="Garamond"/>
        </w:rPr>
        <w:t xml:space="preserve"> </w:t>
      </w:r>
      <w:r w:rsidR="0078768E">
        <w:rPr>
          <w:rFonts w:ascii="Garamond" w:hAnsi="Garamond"/>
        </w:rPr>
        <w:t>American cities. Overall, ou</w:t>
      </w:r>
      <w:r w:rsidR="004A1DFB">
        <w:rPr>
          <w:rFonts w:ascii="Garamond" w:hAnsi="Garamond"/>
        </w:rPr>
        <w:t>r</w:t>
      </w:r>
      <w:r w:rsidR="0078768E">
        <w:rPr>
          <w:rFonts w:ascii="Garamond" w:hAnsi="Garamond"/>
        </w:rPr>
        <w:t xml:space="preserve"> results suggest that the SVI</w:t>
      </w:r>
      <w:r w:rsidRPr="005E707E">
        <w:rPr>
          <w:rFonts w:ascii="Garamond" w:hAnsi="Garamond"/>
        </w:rPr>
        <w:t xml:space="preserve"> </w:t>
      </w:r>
      <w:r w:rsidR="00966ADA">
        <w:rPr>
          <w:rFonts w:ascii="Garamond" w:hAnsi="Garamond"/>
        </w:rPr>
        <w:t>may be less well</w:t>
      </w:r>
      <w:r w:rsidR="004F6D00">
        <w:rPr>
          <w:rFonts w:ascii="Garamond" w:hAnsi="Garamond"/>
        </w:rPr>
        <w:t>-</w:t>
      </w:r>
      <w:r w:rsidR="00966ADA">
        <w:rPr>
          <w:rFonts w:ascii="Garamond" w:hAnsi="Garamond"/>
        </w:rPr>
        <w:t>suited than</w:t>
      </w:r>
      <w:r w:rsidR="0078768E">
        <w:rPr>
          <w:rFonts w:ascii="Garamond" w:hAnsi="Garamond"/>
        </w:rPr>
        <w:t xml:space="preserve"> more </w:t>
      </w:r>
      <w:r w:rsidRPr="005E707E">
        <w:rPr>
          <w:rFonts w:ascii="Garamond" w:hAnsi="Garamond"/>
        </w:rPr>
        <w:t>conventional measure</w:t>
      </w:r>
      <w:r w:rsidR="004F6D00">
        <w:rPr>
          <w:rFonts w:ascii="Garamond" w:hAnsi="Garamond"/>
        </w:rPr>
        <w:t>s</w:t>
      </w:r>
      <w:r w:rsidRPr="005E707E">
        <w:rPr>
          <w:rFonts w:ascii="Garamond" w:hAnsi="Garamond"/>
        </w:rPr>
        <w:t xml:space="preserve"> of socioeconomic disadvantage</w:t>
      </w:r>
      <w:r w:rsidR="00966ADA">
        <w:rPr>
          <w:rFonts w:ascii="Garamond" w:hAnsi="Garamond"/>
        </w:rPr>
        <w:t xml:space="preserve"> for explaining variation in community firearm violence</w:t>
      </w:r>
      <w:r w:rsidRPr="005E707E">
        <w:rPr>
          <w:rFonts w:ascii="Garamond" w:hAnsi="Garamond"/>
        </w:rPr>
        <w:t xml:space="preserve">. Despite its intuitive appeal and increasing visibility in violence-prevention research, the SVI </w:t>
      </w:r>
      <w:r w:rsidR="00DC4580">
        <w:rPr>
          <w:rFonts w:ascii="Garamond" w:hAnsi="Garamond"/>
        </w:rPr>
        <w:t xml:space="preserve">appears to </w:t>
      </w:r>
      <w:r w:rsidRPr="005E707E">
        <w:rPr>
          <w:rFonts w:ascii="Garamond" w:hAnsi="Garamond"/>
        </w:rPr>
        <w:t xml:space="preserve">offer little </w:t>
      </w:r>
      <w:r w:rsidR="00314D5E" w:rsidRPr="00F85287">
        <w:rPr>
          <w:rFonts w:ascii="Garamond" w:hAnsi="Garamond"/>
        </w:rPr>
        <w:t>explanatory power</w:t>
      </w:r>
      <w:r w:rsidR="00DC4580" w:rsidRPr="005E707E">
        <w:rPr>
          <w:rFonts w:ascii="Garamond" w:hAnsi="Garamond"/>
        </w:rPr>
        <w:t xml:space="preserve"> </w:t>
      </w:r>
      <w:r w:rsidRPr="005E707E">
        <w:rPr>
          <w:rFonts w:ascii="Garamond" w:hAnsi="Garamond"/>
        </w:rPr>
        <w:t xml:space="preserve">beyond what </w:t>
      </w:r>
      <w:r w:rsidR="00DC4580">
        <w:rPr>
          <w:rFonts w:ascii="Garamond" w:hAnsi="Garamond"/>
        </w:rPr>
        <w:t>is already</w:t>
      </w:r>
      <w:r w:rsidRPr="005E707E">
        <w:rPr>
          <w:rFonts w:ascii="Garamond" w:hAnsi="Garamond"/>
        </w:rPr>
        <w:t xml:space="preserve"> captured by more established </w:t>
      </w:r>
      <w:r w:rsidR="00DC4580">
        <w:rPr>
          <w:rFonts w:ascii="Garamond" w:hAnsi="Garamond"/>
        </w:rPr>
        <w:t>measures of structural disadvantage</w:t>
      </w:r>
      <w:r w:rsidRPr="005E707E">
        <w:rPr>
          <w:rFonts w:ascii="Garamond" w:hAnsi="Garamond"/>
        </w:rPr>
        <w:t xml:space="preserve">. </w:t>
      </w:r>
      <w:r w:rsidR="008E60DB">
        <w:rPr>
          <w:rFonts w:ascii="Garamond" w:hAnsi="Garamond"/>
        </w:rPr>
        <w:t>Our</w:t>
      </w:r>
      <w:r w:rsidRPr="005E707E">
        <w:rPr>
          <w:rFonts w:ascii="Garamond" w:hAnsi="Garamond"/>
        </w:rPr>
        <w:t xml:space="preserve"> findings underscore </w:t>
      </w:r>
      <w:r w:rsidR="00246CAE">
        <w:rPr>
          <w:rFonts w:ascii="Garamond" w:hAnsi="Garamond"/>
        </w:rPr>
        <w:t>several</w:t>
      </w:r>
      <w:r w:rsidR="00A93559">
        <w:rPr>
          <w:rFonts w:ascii="Garamond" w:hAnsi="Garamond"/>
        </w:rPr>
        <w:t xml:space="preserve"> interrelated</w:t>
      </w:r>
      <w:r w:rsidRPr="005E707E">
        <w:rPr>
          <w:rFonts w:ascii="Garamond" w:hAnsi="Garamond"/>
        </w:rPr>
        <w:t xml:space="preserve"> </w:t>
      </w:r>
      <w:r w:rsidR="00047E9A" w:rsidRPr="005E707E">
        <w:rPr>
          <w:rFonts w:ascii="Garamond" w:hAnsi="Garamond"/>
        </w:rPr>
        <w:t>concern</w:t>
      </w:r>
      <w:r w:rsidR="00047E9A">
        <w:rPr>
          <w:rFonts w:ascii="Garamond" w:hAnsi="Garamond"/>
        </w:rPr>
        <w:t>s</w:t>
      </w:r>
      <w:r w:rsidR="005F6444">
        <w:rPr>
          <w:rFonts w:ascii="Garamond" w:hAnsi="Garamond"/>
        </w:rPr>
        <w:t xml:space="preserve"> </w:t>
      </w:r>
      <w:r w:rsidRPr="005E707E">
        <w:rPr>
          <w:rFonts w:ascii="Garamond" w:hAnsi="Garamond"/>
        </w:rPr>
        <w:t xml:space="preserve">that </w:t>
      </w:r>
      <w:r w:rsidR="005F6444">
        <w:rPr>
          <w:rFonts w:ascii="Garamond" w:hAnsi="Garamond"/>
        </w:rPr>
        <w:t>collectively</w:t>
      </w:r>
      <w:r w:rsidRPr="005E707E">
        <w:rPr>
          <w:rFonts w:ascii="Garamond" w:hAnsi="Garamond"/>
        </w:rPr>
        <w:t xml:space="preserve"> call into question the </w:t>
      </w:r>
      <w:r w:rsidR="005F6444">
        <w:rPr>
          <w:rFonts w:ascii="Garamond" w:hAnsi="Garamond"/>
        </w:rPr>
        <w:t>appropriateness of the SVI</w:t>
      </w:r>
      <w:r w:rsidRPr="005E707E">
        <w:rPr>
          <w:rFonts w:ascii="Garamond" w:hAnsi="Garamond"/>
        </w:rPr>
        <w:t xml:space="preserve"> as a proxy for </w:t>
      </w:r>
      <w:r w:rsidR="008E60DB">
        <w:rPr>
          <w:rFonts w:ascii="Garamond" w:hAnsi="Garamond"/>
        </w:rPr>
        <w:t xml:space="preserve">community </w:t>
      </w:r>
      <w:r w:rsidRPr="005E707E">
        <w:rPr>
          <w:rFonts w:ascii="Garamond" w:hAnsi="Garamond"/>
        </w:rPr>
        <w:t>violence risk.</w:t>
      </w:r>
    </w:p>
    <w:p w14:paraId="536A5454" w14:textId="4FBB7A03" w:rsidR="00C149F0" w:rsidRDefault="00C149F0" w:rsidP="00C028DE">
      <w:pPr>
        <w:spacing w:after="0" w:line="480" w:lineRule="auto"/>
        <w:ind w:firstLine="720"/>
        <w:jc w:val="both"/>
        <w:rPr>
          <w:rFonts w:ascii="Garamond" w:hAnsi="Garamond"/>
        </w:rPr>
      </w:pPr>
      <w:r w:rsidRPr="00C149F0">
        <w:rPr>
          <w:rFonts w:ascii="Garamond" w:hAnsi="Garamond"/>
        </w:rPr>
        <w:t xml:space="preserve">For one, the SVI was </w:t>
      </w:r>
      <w:r w:rsidR="008E60DB">
        <w:rPr>
          <w:rFonts w:ascii="Garamond" w:hAnsi="Garamond"/>
        </w:rPr>
        <w:t>not</w:t>
      </w:r>
      <w:r w:rsidRPr="00C149F0">
        <w:rPr>
          <w:rFonts w:ascii="Garamond" w:hAnsi="Garamond"/>
        </w:rPr>
        <w:t xml:space="preserve"> </w:t>
      </w:r>
      <w:r w:rsidR="009C743F">
        <w:rPr>
          <w:rFonts w:ascii="Garamond" w:hAnsi="Garamond"/>
        </w:rPr>
        <w:t xml:space="preserve">originally </w:t>
      </w:r>
      <w:r w:rsidRPr="00C149F0">
        <w:rPr>
          <w:rFonts w:ascii="Garamond" w:hAnsi="Garamond"/>
        </w:rPr>
        <w:t xml:space="preserve">designed to capture the antecedents of interpersonal violence. Its conceptual foundation lies in disaster management, where “vulnerability” reflects a community’s capacity to withstand and recover from </w:t>
      </w:r>
      <w:r w:rsidR="00EB2CCB">
        <w:rPr>
          <w:rFonts w:ascii="Garamond" w:hAnsi="Garamond"/>
        </w:rPr>
        <w:t>exogenous</w:t>
      </w:r>
      <w:r w:rsidRPr="00C149F0">
        <w:rPr>
          <w:rFonts w:ascii="Garamond" w:hAnsi="Garamond"/>
        </w:rPr>
        <w:t xml:space="preserve"> shocks. Firearm violence, in contrast, emerges from long-term structural processes such as economic marginalization, segregation, disinvestment, and institutional neglect.</w:t>
      </w:r>
      <w:r w:rsidR="005F6444">
        <w:rPr>
          <w:rFonts w:ascii="Garamond" w:hAnsi="Garamond"/>
        </w:rPr>
        <w:t xml:space="preserve"> These factors contribute to violence by eroding trust among community residents, diminishing collectively efficacy, and frequently by encouraging subcultural ethos in which violence </w:t>
      </w:r>
      <w:r w:rsidR="00701A8A">
        <w:rPr>
          <w:rFonts w:ascii="Garamond" w:hAnsi="Garamond"/>
        </w:rPr>
        <w:t>is</w:t>
      </w:r>
      <w:r w:rsidR="005F6444">
        <w:rPr>
          <w:rFonts w:ascii="Garamond" w:hAnsi="Garamond"/>
        </w:rPr>
        <w:t xml:space="preserve"> normalized</w:t>
      </w:r>
      <w:r w:rsidR="00290517">
        <w:rPr>
          <w:rFonts w:ascii="Garamond" w:hAnsi="Garamond" w:hint="eastAsia"/>
          <w:lang w:eastAsia="ko-KR"/>
        </w:rPr>
        <w:t xml:space="preserve"> </w:t>
      </w:r>
      <w:r w:rsidR="00290517">
        <w:rPr>
          <w:rFonts w:ascii="Garamond" w:hAnsi="Garamond"/>
          <w:lang w:eastAsia="ko-KR"/>
        </w:rPr>
        <w:fldChar w:fldCharType="begin"/>
      </w:r>
      <w:r w:rsidR="005548B3">
        <w:rPr>
          <w:rFonts w:ascii="Garamond" w:hAnsi="Garamond"/>
          <w:lang w:eastAsia="ko-KR"/>
        </w:rPr>
        <w:instrText xml:space="preserve"> ADDIN ZOTERO_ITEM CSL_CITATION {"citationID":"CEuoORyN","properties":{"unsorted":false,"formattedCitation":"[3,18,30,49]","plainCitation":"[3,18,30,49]","noteIndex":0},"citationItems":[{"id":27449,"uris":["http://zotero.org/users/7595310/items/H74XQEG9"],"itemData":{"id":27449,"type":"book","abstract":"\"More than half a century after the first Jim Crow laws were dismantled, the majority of urban neighborhoods in the United States remain segregated by race. The degree of social and economic advantage or disadvantage that each community experiences - particularly its crime rate - is most often a reflection of which group is in the majority. Based on the authors' groundbreaking National Neighborhood Crime Study (NNCS), this book provides a more complete picture of the social conditions underlying neighborhood crime patterns than has ever before been drawn. The study includes economic, social, and local investment data for nearly nine thousand neighborhoods in 87 cities, and the findings reveal a pattern across neighborhoods of racialized separation among unequal groups. Residential segregation reproduces existing privilege or disadvantage in neighborhoods, increasing the potential for crime and instability in impoverished non-white areas yet providing few opportunities for residents to improve conditions or leave. This book lays to rest the popular misconception that persistently high crime rates in impoverished, non-white neighborhoods are merely the result of individual pathologies, or worse, inherent group criminality. Separate, the book emphasizes, is inherently unequal.\"-- Provided by Publisher","citation-key":"peterson_2012_a","edition":"1st paperback edition","ISBN":"978-0-87154-697-5","language":"eng","note":"OCLC: 813165261","publisher":"Russell Sage Foundation","publisher-place":"New York","source":"Open WorldCat","title":"Divergent social worlds: neighborhood crime and the racial-spatial divide","title-short":"Divergent social worlds","author":[{"family":"Peterson","given":"Ruth D."},{"family":"Krivo","given":"Lauren Joy"}],"contributor":[{"family":"Hagan","given":"John"}],"issued":{"date-parts":[["2012"]]}}},{"id":27463,"uris":["http://zotero.org/users/7595310/items/KGPFUK5F"],"itemData":{"id":27463,"type":"book","abstract":"For over fifty years numerous public intellectuals and social theorists have insisted that community is dead. Some would have us believe that we act solely as individuals choosing our own fates regardless of our surroundings, while other theories place us at the mercy of global forces beyond our control. These two perspectives dominate contemporary views of society, but by rejecting the importance of place they are both deeply flawed. Based on one of the most ambitious studies in the history of social science, Great American City argues that communities still matter because life is decisively shaped by where you live. To demonstrate the powerfully enduring impact of place, Robert J. Sampson presents here the fruits of over a decade’s research in Chicago combined with his own unique personal observations about life in the city, from Cabrini Green to Trump Tower and Millennium Park to the Robert Taylor Homes. He discovers that neighborhoods influence a remarkably wide variety of social phenomena, including crime, health, civic engagement, home foreclosures, teen births, altruism, leadership networks, and immigration. Even national crises cannot halt the impact of place, Sampson finds, as he analyzes the consequences of the Great Recession and its aftermath, bringing his magisterial study up to the fall of 2010. Following in the influential tradition of the Chicago School of urban studies but updated for the twenty-first century, Great American City is at once a landmark research project, a commanding argument for a new theory of social life, and the story of an iconic city.","citation-key":"sampson_2013_","ISBN":"978-0-226-05568-8","language":"en","number-of-pages":"552","publisher":"University of Chicago Press","publisher-place":"Chicago, IL","source":"University of Chicago Press","title":"Great american city: Chicago and the enduring neighborhood effect","title-short":"Great american city","URL":"https://press.uchicago.edu/ucp/books/book/chicago/G/bo5514383.html","author":[{"family":"Sampson","given":"Robert J."}],"editor":[{"family":"Wilson","given":"William Julius"}],"accessed":{"date-parts":[["2026",6,2]]},"issued":{"date-parts":[["2013",6]]}}},{"id":27494,"uris":["http://zotero.org/users/7595310/items/XB36D6Q9"],"itemData":{"id":27494,"type":"article-journal","abstract":"This article reviews theory and evidence on the role community-oriented organizations play in reducing violence while fostering neighborhood resilience. We conceptualize community-oriented organizations as those that have a local focus on people, institutions, or places within a particular area; work to support residents and confront local challenges or problems; and are operated by institutions other than the state, with the most common organizational form being the nonprofit. After reviewing several theoretical traditions that illuminate the various mechanisms by which community-oriented organizations may be linked with crime and violence, we review the available evidence on the effectiveness of community-oriented approaches to confronting violence from both quantitative and qualitative sources. We conclude with a discussion of the implications of the turn toward the community for research in criminology and for social policy.","citation-key":"sharkey_2026_annu.rev.criminol.","container-title":"Annual Review of Criminology","DOI":"10.1146/annurev-criminol-111523-122521","ISSN":"2572-4568","issue":"Volume 9, 2026","language":"en","page":"81-100","publisher":"Annual Reviews","source":"www-annualreviews-org.libproxy.albany.edu","title":"Turning toward the community: Theory and evidence for the role of community-oriented organizations in the effort to confront violence","title-short":"Turning toward the community","volume":"9","author":[{"family":"Sharkey","given":"Patrick"},{"family":"Ittner","given":"Timothy"}],"issued":{"date-parts":[["2026",1,29]]}}},{"id":27482,"uris":["http://zotero.org/users/7595310/items/YY26X32X"],"itemData":{"id":27482,"type":"article-journal","abstract":"Structural-cultural perspectives link contextual characteristics to interactions with associates who transmit definitions favorable to crime, thus influencing behavior. Drawing on this, we predict that: (1) adolescents in disadvantaged neighborhoods will be more likely to have parents, friends, and schoolmates who hold violent rationalizations, (2) exposure to associates who hold violent rationalizations will increase an adolescent’s own violent rationalizations, and (3) one’s willingness to rationalize violence will be associated with self-reported violent conduct. Using panel data from the University of Missouri – St. Louis Comprehensive School Safety Initiative and structural equation models, our findings indicate that respondents residing in disadvantaged neighborhoods are more likely to be exposed to associates who report a greater willingness to rationalize violence, which in turn predicts an adolescent’s own rationalizations. Further, one’s willingness to rationalize violence is predictive of violent conduct and mediates the effects of associates’ attitudes on self-reported violence.","citation-key":"thomas_2025_justiceq.a","container-title":"Justice Quarterly","DOI":"10.1080/07418825.2024.2358018","ISSN":"0741-8825","issue":"3","note":"_eprint: https://doi.org/10.1080/07418825.2024.2358018","page":"363-395","publisher":"Routledge","source":"Taylor and Francis+NEJM","title":"Neighborhood disadvantage, social groups, and adolescent violence: Assessing mechanisms in structural-cultural theories","title-short":"Neighborhood disadvantage, social groups, and adolescent violence","volume":"42","author":[{"family":"Thomas","given":"Kyle J."},{"family":"O’Neill","given":"Jennifer"},{"family":"Vogel","given":"Matt"}],"issued":{"date-parts":[["2025",4,16]]}}}],"schema":"https://github.com/citation-style-language/schema/raw/master/csl-citation.json"} </w:instrText>
      </w:r>
      <w:r w:rsidR="00290517">
        <w:rPr>
          <w:rFonts w:ascii="Garamond" w:hAnsi="Garamond"/>
          <w:lang w:eastAsia="ko-KR"/>
        </w:rPr>
        <w:fldChar w:fldCharType="separate"/>
      </w:r>
      <w:r w:rsidR="005548B3" w:rsidRPr="005548B3">
        <w:rPr>
          <w:rFonts w:ascii="Garamond" w:hAnsi="Garamond"/>
          <w:lang w:eastAsia="ko-KR"/>
        </w:rPr>
        <w:t>[3,18,30,49]</w:t>
      </w:r>
      <w:r w:rsidR="00290517">
        <w:rPr>
          <w:rFonts w:ascii="Garamond" w:hAnsi="Garamond"/>
          <w:lang w:eastAsia="ko-KR"/>
        </w:rPr>
        <w:fldChar w:fldCharType="end"/>
      </w:r>
      <w:r w:rsidR="005F6444">
        <w:rPr>
          <w:rFonts w:ascii="Garamond" w:hAnsi="Garamond"/>
        </w:rPr>
        <w:t>. Importantly, t</w:t>
      </w:r>
      <w:r w:rsidRPr="00C149F0">
        <w:rPr>
          <w:rFonts w:ascii="Garamond" w:hAnsi="Garamond"/>
        </w:rPr>
        <w:t xml:space="preserve">hese forces shape the production of risk rather than the absorption of harm. </w:t>
      </w:r>
    </w:p>
    <w:p w14:paraId="5CE1C71D" w14:textId="14F6C292" w:rsidR="00E47ACB" w:rsidRDefault="005E707E" w:rsidP="00C028DE">
      <w:pPr>
        <w:spacing w:after="0" w:line="480" w:lineRule="auto"/>
        <w:ind w:firstLine="720"/>
        <w:jc w:val="both"/>
        <w:rPr>
          <w:rFonts w:ascii="Garamond" w:hAnsi="Garamond"/>
        </w:rPr>
      </w:pPr>
      <w:r w:rsidRPr="005E707E">
        <w:rPr>
          <w:rFonts w:ascii="Garamond" w:hAnsi="Garamond"/>
        </w:rPr>
        <w:t>Whe</w:t>
      </w:r>
      <w:r w:rsidR="00491737">
        <w:rPr>
          <w:rFonts w:ascii="Garamond" w:hAnsi="Garamond"/>
        </w:rPr>
        <w:t>re and when</w:t>
      </w:r>
      <w:r w:rsidRPr="005E707E">
        <w:rPr>
          <w:rFonts w:ascii="Garamond" w:hAnsi="Garamond"/>
        </w:rPr>
        <w:t xml:space="preserve"> the SVI predicts higher firearm violence, it does not necessarily indicate that “vulnerable” communities are more violent. Rather, it </w:t>
      </w:r>
      <w:r w:rsidR="005F6444">
        <w:rPr>
          <w:rFonts w:ascii="Garamond" w:hAnsi="Garamond"/>
        </w:rPr>
        <w:t>reaffirms</w:t>
      </w:r>
      <w:r w:rsidRPr="005E707E">
        <w:rPr>
          <w:rFonts w:ascii="Garamond" w:hAnsi="Garamond"/>
        </w:rPr>
        <w:t xml:space="preserve"> that one of its </w:t>
      </w:r>
      <w:r w:rsidR="009240FD">
        <w:rPr>
          <w:rFonts w:ascii="Garamond" w:hAnsi="Garamond"/>
        </w:rPr>
        <w:t xml:space="preserve">core </w:t>
      </w:r>
      <w:r w:rsidRPr="005E707E">
        <w:rPr>
          <w:rFonts w:ascii="Garamond" w:hAnsi="Garamond"/>
        </w:rPr>
        <w:t>component</w:t>
      </w:r>
      <w:r w:rsidR="005F6444">
        <w:rPr>
          <w:rFonts w:ascii="Garamond" w:hAnsi="Garamond"/>
        </w:rPr>
        <w:t>s</w:t>
      </w:r>
      <w:r w:rsidR="00C149F0">
        <w:rPr>
          <w:rFonts w:ascii="Garamond" w:hAnsi="Garamond"/>
        </w:rPr>
        <w:t xml:space="preserve">, </w:t>
      </w:r>
      <w:r w:rsidRPr="005E707E">
        <w:rPr>
          <w:rFonts w:ascii="Garamond" w:hAnsi="Garamond"/>
        </w:rPr>
        <w:t xml:space="preserve">socioeconomic </w:t>
      </w:r>
      <w:r w:rsidR="00C149F0">
        <w:rPr>
          <w:rFonts w:ascii="Garamond" w:hAnsi="Garamond"/>
        </w:rPr>
        <w:t xml:space="preserve">disadvantage, </w:t>
      </w:r>
      <w:r w:rsidRPr="005E707E">
        <w:rPr>
          <w:rFonts w:ascii="Garamond" w:hAnsi="Garamond"/>
        </w:rPr>
        <w:t xml:space="preserve">is a robust correlate of crime. The remaining </w:t>
      </w:r>
      <w:r w:rsidR="00F9271D">
        <w:rPr>
          <w:rFonts w:ascii="Garamond" w:hAnsi="Garamond"/>
        </w:rPr>
        <w:t xml:space="preserve">SVI </w:t>
      </w:r>
      <w:r w:rsidRPr="005E707E">
        <w:rPr>
          <w:rFonts w:ascii="Garamond" w:hAnsi="Garamond"/>
        </w:rPr>
        <w:t xml:space="preserve">domains </w:t>
      </w:r>
      <w:r w:rsidR="00F9271D">
        <w:rPr>
          <w:rFonts w:ascii="Garamond" w:hAnsi="Garamond"/>
        </w:rPr>
        <w:t>exhibit</w:t>
      </w:r>
      <w:r w:rsidRPr="005E707E">
        <w:rPr>
          <w:rFonts w:ascii="Garamond" w:hAnsi="Garamond"/>
        </w:rPr>
        <w:t xml:space="preserve"> weak or inconsistent relationships with violenc</w:t>
      </w:r>
      <w:r w:rsidR="00C149F0">
        <w:rPr>
          <w:rFonts w:ascii="Garamond" w:hAnsi="Garamond"/>
        </w:rPr>
        <w:t>e</w:t>
      </w:r>
      <w:r w:rsidRPr="005E707E">
        <w:rPr>
          <w:rFonts w:ascii="Garamond" w:hAnsi="Garamond"/>
        </w:rPr>
        <w:t xml:space="preserve">. Thus, while the language of vulnerability may resonate in public-health </w:t>
      </w:r>
      <w:r w:rsidR="009C743F">
        <w:rPr>
          <w:rFonts w:ascii="Garamond" w:hAnsi="Garamond"/>
        </w:rPr>
        <w:t>research</w:t>
      </w:r>
      <w:r w:rsidRPr="005E707E">
        <w:rPr>
          <w:rFonts w:ascii="Garamond" w:hAnsi="Garamond"/>
        </w:rPr>
        <w:t xml:space="preserve">, it risks obscuring the mechanisms that </w:t>
      </w:r>
      <w:r w:rsidR="00E47ACB" w:rsidRPr="005E707E">
        <w:rPr>
          <w:rFonts w:ascii="Garamond" w:hAnsi="Garamond"/>
        </w:rPr>
        <w:t>criminolog</w:t>
      </w:r>
      <w:r w:rsidR="00E47ACB">
        <w:rPr>
          <w:rFonts w:ascii="Garamond" w:hAnsi="Garamond"/>
        </w:rPr>
        <w:t>ists</w:t>
      </w:r>
      <w:r w:rsidRPr="005E707E">
        <w:rPr>
          <w:rFonts w:ascii="Garamond" w:hAnsi="Garamond"/>
        </w:rPr>
        <w:t xml:space="preserve"> ha</w:t>
      </w:r>
      <w:r w:rsidR="00E47ACB">
        <w:rPr>
          <w:rFonts w:ascii="Garamond" w:hAnsi="Garamond"/>
        </w:rPr>
        <w:t>ve</w:t>
      </w:r>
      <w:r w:rsidRPr="005E707E">
        <w:rPr>
          <w:rFonts w:ascii="Garamond" w:hAnsi="Garamond"/>
        </w:rPr>
        <w:t xml:space="preserve"> long identified as central</w:t>
      </w:r>
      <w:r w:rsidR="00E47ACB">
        <w:rPr>
          <w:rFonts w:ascii="Garamond" w:hAnsi="Garamond"/>
        </w:rPr>
        <w:t xml:space="preserve"> to the etiology of violence</w:t>
      </w:r>
      <w:r w:rsidRPr="005E707E">
        <w:rPr>
          <w:rFonts w:ascii="Garamond" w:hAnsi="Garamond"/>
        </w:rPr>
        <w:t xml:space="preserve">: inequality, </w:t>
      </w:r>
      <w:r w:rsidR="00491737">
        <w:rPr>
          <w:rFonts w:ascii="Garamond" w:hAnsi="Garamond"/>
        </w:rPr>
        <w:t xml:space="preserve">differential </w:t>
      </w:r>
      <w:r w:rsidRPr="005E707E">
        <w:rPr>
          <w:rFonts w:ascii="Garamond" w:hAnsi="Garamond"/>
        </w:rPr>
        <w:t xml:space="preserve">opportunity structures, and </w:t>
      </w:r>
      <w:r w:rsidR="00A715A6">
        <w:rPr>
          <w:rFonts w:ascii="Garamond" w:hAnsi="Garamond"/>
        </w:rPr>
        <w:t>diminished</w:t>
      </w:r>
      <w:r w:rsidR="000917BC">
        <w:rPr>
          <w:rFonts w:ascii="Garamond" w:hAnsi="Garamond"/>
        </w:rPr>
        <w:t xml:space="preserve"> </w:t>
      </w:r>
      <w:r w:rsidR="00F460A8">
        <w:rPr>
          <w:rFonts w:ascii="Garamond" w:hAnsi="Garamond"/>
        </w:rPr>
        <w:t>institutional</w:t>
      </w:r>
      <w:r w:rsidRPr="005E707E">
        <w:rPr>
          <w:rFonts w:ascii="Garamond" w:hAnsi="Garamond"/>
        </w:rPr>
        <w:t xml:space="preserve"> capacity.</w:t>
      </w:r>
      <w:r w:rsidR="00364DA1">
        <w:rPr>
          <w:rFonts w:ascii="Garamond" w:hAnsi="Garamond"/>
        </w:rPr>
        <w:t xml:space="preserve"> </w:t>
      </w:r>
      <w:r w:rsidR="00364DA1" w:rsidRPr="005E707E">
        <w:rPr>
          <w:rFonts w:ascii="Garamond" w:hAnsi="Garamond"/>
        </w:rPr>
        <w:t xml:space="preserve">When researchers interpret high SVI areas as </w:t>
      </w:r>
      <w:r w:rsidR="001B0CED">
        <w:rPr>
          <w:rFonts w:ascii="Garamond" w:hAnsi="Garamond"/>
        </w:rPr>
        <w:t>facing a greater risk for</w:t>
      </w:r>
      <w:r w:rsidR="00364DA1" w:rsidRPr="005E707E">
        <w:rPr>
          <w:rFonts w:ascii="Garamond" w:hAnsi="Garamond"/>
        </w:rPr>
        <w:t xml:space="preserve"> violence, </w:t>
      </w:r>
      <w:r w:rsidR="00DC4580" w:rsidRPr="00DC4580">
        <w:rPr>
          <w:rFonts w:ascii="Garamond" w:hAnsi="Garamond"/>
        </w:rPr>
        <w:t>they risk obscuring the structural mechanisms most closely tied to firearm violence.</w:t>
      </w:r>
      <w:r w:rsidR="00364DA1">
        <w:rPr>
          <w:rFonts w:ascii="Garamond" w:hAnsi="Garamond"/>
        </w:rPr>
        <w:t xml:space="preserve"> </w:t>
      </w:r>
      <w:r w:rsidR="00364DA1" w:rsidRPr="005E707E">
        <w:rPr>
          <w:rFonts w:ascii="Garamond" w:hAnsi="Garamond"/>
        </w:rPr>
        <w:t xml:space="preserve">Moreover, </w:t>
      </w:r>
      <w:r w:rsidR="00364DA1" w:rsidRPr="005E707E">
        <w:rPr>
          <w:rFonts w:ascii="Garamond" w:hAnsi="Garamond"/>
        </w:rPr>
        <w:lastRenderedPageBreak/>
        <w:t>conflating vulnerability with violence may inadvertently stigmatize communities already burdened by economic marginalization and racialized disadvantage</w:t>
      </w:r>
      <w:r w:rsidR="001B0CED">
        <w:rPr>
          <w:rFonts w:ascii="Garamond" w:hAnsi="Garamond"/>
        </w:rPr>
        <w:t>s</w:t>
      </w:r>
      <w:r w:rsidR="00364DA1" w:rsidRPr="005E707E">
        <w:rPr>
          <w:rFonts w:ascii="Garamond" w:hAnsi="Garamond"/>
        </w:rPr>
        <w:t xml:space="preserve">. Labeling </w:t>
      </w:r>
      <w:r w:rsidR="001B0CED">
        <w:rPr>
          <w:rFonts w:ascii="Garamond" w:hAnsi="Garamond"/>
        </w:rPr>
        <w:t>such places</w:t>
      </w:r>
      <w:r w:rsidR="00364DA1" w:rsidRPr="005E707E">
        <w:rPr>
          <w:rFonts w:ascii="Garamond" w:hAnsi="Garamond"/>
        </w:rPr>
        <w:t xml:space="preserve"> as “socially vulnerable” implies fragility rather than structural exclusion, shifting attention </w:t>
      </w:r>
      <w:r w:rsidR="00364DA1">
        <w:rPr>
          <w:rFonts w:ascii="Garamond" w:hAnsi="Garamond"/>
        </w:rPr>
        <w:t xml:space="preserve">away </w:t>
      </w:r>
      <w:r w:rsidR="00364DA1" w:rsidRPr="005E707E">
        <w:rPr>
          <w:rFonts w:ascii="Garamond" w:hAnsi="Garamond"/>
        </w:rPr>
        <w:t xml:space="preserve">from the policies and institutions that perpetuate inequality. Public-health frameworks can complement criminological </w:t>
      </w:r>
      <w:r w:rsidR="001601D1">
        <w:rPr>
          <w:rFonts w:ascii="Garamond" w:hAnsi="Garamond"/>
        </w:rPr>
        <w:t>scholarship</w:t>
      </w:r>
      <w:r w:rsidR="00364DA1" w:rsidRPr="005E707E">
        <w:rPr>
          <w:rFonts w:ascii="Garamond" w:hAnsi="Garamond"/>
        </w:rPr>
        <w:t xml:space="preserve">, but only when the measures they employ align conceptually with the phenomena under study. The SVI does not meet </w:t>
      </w:r>
      <w:r w:rsidR="001B0CED">
        <w:rPr>
          <w:rFonts w:ascii="Garamond" w:hAnsi="Garamond"/>
        </w:rPr>
        <w:t>this</w:t>
      </w:r>
      <w:r w:rsidR="00364DA1" w:rsidRPr="005E707E">
        <w:rPr>
          <w:rFonts w:ascii="Garamond" w:hAnsi="Garamond"/>
        </w:rPr>
        <w:t xml:space="preserve"> standard.</w:t>
      </w:r>
    </w:p>
    <w:p w14:paraId="0852C9DE" w14:textId="0D652F79" w:rsidR="00432C15" w:rsidRDefault="005E707E" w:rsidP="00966ADA">
      <w:pPr>
        <w:spacing w:after="0" w:line="480" w:lineRule="auto"/>
        <w:ind w:firstLine="720"/>
        <w:jc w:val="both"/>
        <w:rPr>
          <w:rFonts w:ascii="Garamond" w:hAnsi="Garamond"/>
        </w:rPr>
      </w:pPr>
      <w:proofErr w:type="gramStart"/>
      <w:r w:rsidRPr="005E707E">
        <w:rPr>
          <w:rFonts w:ascii="Garamond" w:hAnsi="Garamond"/>
        </w:rPr>
        <w:t>The SVI’s</w:t>
      </w:r>
      <w:proofErr w:type="gramEnd"/>
      <w:r w:rsidRPr="005E707E">
        <w:rPr>
          <w:rFonts w:ascii="Garamond" w:hAnsi="Garamond"/>
        </w:rPr>
        <w:t xml:space="preserve"> appeal stems partly from its simplicity and availability, but those same features introduce</w:t>
      </w:r>
      <w:r w:rsidR="00DE1CC6">
        <w:rPr>
          <w:rFonts w:ascii="Garamond" w:hAnsi="Garamond"/>
        </w:rPr>
        <w:t xml:space="preserve"> some</w:t>
      </w:r>
      <w:r w:rsidRPr="005E707E">
        <w:rPr>
          <w:rFonts w:ascii="Garamond" w:hAnsi="Garamond"/>
        </w:rPr>
        <w:t xml:space="preserve"> important limitations. First, the index is constructed </w:t>
      </w:r>
      <w:r w:rsidRPr="00047E9A">
        <w:rPr>
          <w:rFonts w:ascii="Garamond" w:hAnsi="Garamond"/>
        </w:rPr>
        <w:t>through equal weighting and multi-stage percentile ranking, not empirical scaling. Each indicator contributes equally</w:t>
      </w:r>
      <w:r w:rsidRPr="005E707E">
        <w:rPr>
          <w:rFonts w:ascii="Garamond" w:hAnsi="Garamond"/>
        </w:rPr>
        <w:t xml:space="preserve"> to the final score regardless of its relevance.</w:t>
      </w:r>
      <w:r w:rsidR="00053EAF">
        <w:rPr>
          <w:rFonts w:ascii="Garamond" w:hAnsi="Garamond"/>
        </w:rPr>
        <w:t xml:space="preserve"> </w:t>
      </w:r>
      <w:r w:rsidRPr="005E707E">
        <w:rPr>
          <w:rFonts w:ascii="Garamond" w:hAnsi="Garamond"/>
        </w:rPr>
        <w:t xml:space="preserve">Second, the internal consistency of the four SVI domains </w:t>
      </w:r>
      <w:r w:rsidR="001B0CED">
        <w:rPr>
          <w:rFonts w:ascii="Garamond" w:hAnsi="Garamond"/>
        </w:rPr>
        <w:t>is</w:t>
      </w:r>
      <w:r w:rsidRPr="005E707E">
        <w:rPr>
          <w:rFonts w:ascii="Garamond" w:hAnsi="Garamond"/>
        </w:rPr>
        <w:t xml:space="preserve"> </w:t>
      </w:r>
      <w:r w:rsidR="00D84B39">
        <w:rPr>
          <w:rFonts w:ascii="Garamond" w:hAnsi="Garamond"/>
        </w:rPr>
        <w:t xml:space="preserve">relatively </w:t>
      </w:r>
      <w:r w:rsidRPr="005E707E">
        <w:rPr>
          <w:rFonts w:ascii="Garamond" w:hAnsi="Garamond"/>
        </w:rPr>
        <w:t>weak, and the overall structure</w:t>
      </w:r>
      <w:r w:rsidR="00533B51">
        <w:rPr>
          <w:rFonts w:ascii="Garamond" w:hAnsi="Garamond"/>
        </w:rPr>
        <w:t xml:space="preserve"> </w:t>
      </w:r>
      <w:r w:rsidRPr="005E707E">
        <w:rPr>
          <w:rFonts w:ascii="Garamond" w:hAnsi="Garamond"/>
        </w:rPr>
        <w:t>fails to reproduce stable latent dimensions across space or time</w:t>
      </w:r>
      <w:r w:rsidR="0021268B">
        <w:rPr>
          <w:rFonts w:ascii="Garamond" w:hAnsi="Garamond" w:hint="eastAsia"/>
          <w:lang w:eastAsia="ko-KR"/>
        </w:rPr>
        <w:t xml:space="preserve"> </w:t>
      </w:r>
      <w:r w:rsidR="0021268B">
        <w:rPr>
          <w:rFonts w:ascii="Garamond" w:hAnsi="Garamond"/>
          <w:lang w:eastAsia="ko-KR"/>
        </w:rPr>
        <w:fldChar w:fldCharType="begin"/>
      </w:r>
      <w:r w:rsidR="005548B3">
        <w:rPr>
          <w:rFonts w:ascii="Garamond" w:hAnsi="Garamond"/>
          <w:lang w:eastAsia="ko-KR"/>
        </w:rPr>
        <w:instrText xml:space="preserve"> ADDIN ZOTERO_ITEM CSL_CITATION {"citationID":"qB5ABEB5","properties":{"unsorted":false,"formattedCitation":"[43,44]","plainCitation":"[43,44]","noteIndex":0},"citationItems":[{"id":27477,"uris":["http://zotero.org/users/7595310/items/246VKGNE"],"itemData":{"id":27477,"type":"article-journal","abstract":"As a concept, social vulnerability describes combinations of social, cultural, economic, political, and institutional processes that shape socioeconomic differentials in the experience of and recovery from hazards. Quantitative measures of social vulnerability are widely used in research and practice. In this paper, we establish criteria for the evaluation of social vulnerability indicators and apply those criteria to the most widely used measure of social vulnerability, the Social Vulnerability Index (SoVI). SoVI is a single quantitative indicator that purports to measure a place’s social vulnerability. We show that SoVI has some critical shortcomings regarding theoretical and internal consistency. Specifically, multiple SoVI-based measurements of the vulnerability of the same place, using the same data, can yield strikingly different results. We also show that the SoVI is often misaligned with theory; increases in variables that contribute to vulnerability, like the unemployment rate, often decrease vulnerability as measured by the SoVI. We caution against the use of the index in policy making or other risk-reduction efforts, and we suggest ways to more reliably assess social vulnerability in practice.","citation-key":"spielman_2020_nathazards","container-title":"Natural Hazards","DOI":"10.1007/s11069-019-03820-z","ISSN":"1573-0840","issue":"1","journalAbbreviation":"Nat Hazards","language":"en","page":"417-436","source":"Springer Link","title":"Evaluating social vulnerability indicators: criteria and their application to the social vulnerability index","title-short":"Evaluating social vulnerability indicators","volume":"100","author":[{"family":"Spielman","given":"Seth E."},{"family":"Tuccillo","given":"Joseph"},{"family":"Folch","given":"David C."},{"family":"Schweikert","given":"Amy"},{"family":"Davies","given":"Rebecca"},{"family":"Wood","given":"Nathan"},{"family":"Tate","given":"Eric"}],"issued":{"date-parts":[["2020",1,1]]}}},{"id":27457,"uris":["http://zotero.org/users/7595310/items/KFCL6EYV"],"itemData":{"id":27457,"type":"article-journal","abstract":"A leading challenge in measuring social vulnerability to hazards is for output metrics to better reflect the context in which vulnerability occurs. Through a meta-analysis of 67 flood disaster case studies (1997–2013), this paper profiles the leading drivers of social vulnerability to floods. The results identify demographic characteristics, socioeconomic status, and health as the leading empirical drivers of social vulnerability to damaging flood events. However, risk perception and coping capacity also featured prominently in the case studies, yet these factors tend to be poorly reflected in many social vulnerability indicators. The influence of social vulnerability drivers varied considerably by disaster stage and national setting, highlighting the importance of context in understanding social vulnerability precursors, processes, and outcomes. To help tailor quantitative indicators of social vulnerability to flood contexts, the article concludes with recommendations concerning temporal context, measurability, and indicator interrelationships.","citation-key":"rufat_2015_internationaljournalofdisasterriskreduction","container-title":"International Journal of Disaster Risk Reduction","DOI":"10.1016/j.ijdrr.2015.09.013","ISSN":"2212-4209","journalAbbreviation":"International Journal of Disaster Risk Reduction","page":"470-486","source":"ScienceDirect","title":"Social vulnerability to floods: Review of case studies and implications for measurement","title-short":"Social vulnerability to floods","volume":"14","author":[{"family":"Rufat","given":"Samuel"},{"family":"Tate","given":"Eric"},{"family":"Burton","given":"Christopher G."},{"family":"Maroof","given":"Abu Sayeed"}],"issued":{"date-parts":[["2015",12,1]]}}}],"schema":"https://github.com/citation-style-language/schema/raw/master/csl-citation.json"} </w:instrText>
      </w:r>
      <w:r w:rsidR="0021268B">
        <w:rPr>
          <w:rFonts w:ascii="Garamond" w:hAnsi="Garamond"/>
          <w:lang w:eastAsia="ko-KR"/>
        </w:rPr>
        <w:fldChar w:fldCharType="separate"/>
      </w:r>
      <w:r w:rsidR="005548B3" w:rsidRPr="005548B3">
        <w:rPr>
          <w:rFonts w:ascii="Garamond" w:hAnsi="Garamond"/>
          <w:lang w:eastAsia="ko-KR"/>
        </w:rPr>
        <w:t>[43,44]</w:t>
      </w:r>
      <w:r w:rsidR="0021268B">
        <w:rPr>
          <w:rFonts w:ascii="Garamond" w:hAnsi="Garamond"/>
          <w:lang w:eastAsia="ko-KR"/>
        </w:rPr>
        <w:fldChar w:fldCharType="end"/>
      </w:r>
      <w:r w:rsidRPr="005E707E">
        <w:rPr>
          <w:rFonts w:ascii="Garamond" w:hAnsi="Garamond"/>
        </w:rPr>
        <w:t xml:space="preserve">. When used as a continuous predictor of violence, it </w:t>
      </w:r>
      <w:r w:rsidR="00DA3FCE">
        <w:rPr>
          <w:rFonts w:ascii="Garamond" w:hAnsi="Garamond"/>
        </w:rPr>
        <w:t xml:space="preserve">risks </w:t>
      </w:r>
      <w:r w:rsidR="00533B51">
        <w:rPr>
          <w:rFonts w:ascii="Garamond" w:hAnsi="Garamond"/>
        </w:rPr>
        <w:t>producing</w:t>
      </w:r>
      <w:r w:rsidRPr="005E707E">
        <w:rPr>
          <w:rFonts w:ascii="Garamond" w:hAnsi="Garamond"/>
        </w:rPr>
        <w:t xml:space="preserve"> more statistical </w:t>
      </w:r>
      <w:r w:rsidR="001B0CED">
        <w:rPr>
          <w:rFonts w:ascii="Garamond" w:hAnsi="Garamond"/>
        </w:rPr>
        <w:t>bias</w:t>
      </w:r>
      <w:r w:rsidRPr="005E707E">
        <w:rPr>
          <w:rFonts w:ascii="Garamond" w:hAnsi="Garamond"/>
        </w:rPr>
        <w:t xml:space="preserve"> than substantive meaning.</w:t>
      </w:r>
      <w:r w:rsidR="00432C15">
        <w:rPr>
          <w:rFonts w:ascii="Garamond" w:hAnsi="Garamond"/>
        </w:rPr>
        <w:t xml:space="preserve"> </w:t>
      </w:r>
      <w:r w:rsidR="00432C15" w:rsidRPr="00432C15">
        <w:rPr>
          <w:rFonts w:ascii="Garamond" w:hAnsi="Garamond"/>
        </w:rPr>
        <w:t>This critique should not be interpreted as a dismissal of the broader concept of social vulnerability, or even necessarily of the SVI’s utility in firearm violence research more generally. Rather, our findings speak mo</w:t>
      </w:r>
      <w:r w:rsidR="00432C15">
        <w:rPr>
          <w:rFonts w:ascii="Garamond" w:hAnsi="Garamond"/>
        </w:rPr>
        <w:t>st</w:t>
      </w:r>
      <w:r w:rsidR="00432C15" w:rsidRPr="00432C15">
        <w:rPr>
          <w:rFonts w:ascii="Garamond" w:hAnsi="Garamond"/>
        </w:rPr>
        <w:t xml:space="preserve"> directly to how vulnerability is operationalized and measured through the SVI. As developed, </w:t>
      </w:r>
      <w:proofErr w:type="gramStart"/>
      <w:r w:rsidR="00432C15" w:rsidRPr="00432C15">
        <w:rPr>
          <w:rFonts w:ascii="Garamond" w:hAnsi="Garamond"/>
        </w:rPr>
        <w:t>the SVI</w:t>
      </w:r>
      <w:proofErr w:type="gramEnd"/>
      <w:r w:rsidR="00432C15" w:rsidRPr="00432C15">
        <w:rPr>
          <w:rFonts w:ascii="Garamond" w:hAnsi="Garamond"/>
        </w:rPr>
        <w:t xml:space="preserve"> is intentionally broad and multidimensional, incorporating indicators that extend beyond the socioeconomic conditions most consistently emphasized in criminological research on community violence. Our findings suggest that this breadth may come at a cost. The inclusion of highly heterogeneous indicators appears to weaken the internal coherence of the index and diminish its </w:t>
      </w:r>
      <w:r w:rsidR="00432C15">
        <w:rPr>
          <w:rFonts w:ascii="Garamond" w:hAnsi="Garamond"/>
        </w:rPr>
        <w:t>associations</w:t>
      </w:r>
      <w:r w:rsidR="00432C15" w:rsidRPr="00432C15">
        <w:rPr>
          <w:rFonts w:ascii="Garamond" w:hAnsi="Garamond"/>
        </w:rPr>
        <w:t xml:space="preserve"> with more established measures of structural disadvantage. In this sense, </w:t>
      </w:r>
      <w:r w:rsidR="00A17672">
        <w:rPr>
          <w:rFonts w:ascii="Garamond" w:hAnsi="Garamond"/>
        </w:rPr>
        <w:t>the issue is less</w:t>
      </w:r>
      <w:r w:rsidR="00432C15" w:rsidRPr="00432C15">
        <w:rPr>
          <w:rFonts w:ascii="Garamond" w:hAnsi="Garamond"/>
        </w:rPr>
        <w:t xml:space="preserve"> with the underlying concept of social </w:t>
      </w:r>
      <w:r w:rsidR="00A17672" w:rsidRPr="00432C15">
        <w:rPr>
          <w:rFonts w:ascii="Garamond" w:hAnsi="Garamond"/>
        </w:rPr>
        <w:t>vulnerability</w:t>
      </w:r>
      <w:r w:rsidR="00432C15" w:rsidRPr="00432C15">
        <w:rPr>
          <w:rFonts w:ascii="Garamond" w:hAnsi="Garamond"/>
        </w:rPr>
        <w:t xml:space="preserve"> than with the current specification of the index in this context. A theoretically grounded operationalization that more clearly distinguishes between socioeconomic disadvantage, demographic composition, and housing or transportation characteristics</w:t>
      </w:r>
      <w:r w:rsidR="0067710F">
        <w:rPr>
          <w:rFonts w:ascii="Garamond" w:hAnsi="Garamond"/>
        </w:rPr>
        <w:t xml:space="preserve"> </w:t>
      </w:r>
      <w:r w:rsidR="00432C15" w:rsidRPr="00432C15">
        <w:rPr>
          <w:rFonts w:ascii="Garamond" w:hAnsi="Garamond"/>
        </w:rPr>
        <w:t>may yield stronger and more consistent relationships with firearm violence.</w:t>
      </w:r>
    </w:p>
    <w:p w14:paraId="21946D7E" w14:textId="09E2158D" w:rsidR="005E707E" w:rsidRPr="005E707E" w:rsidRDefault="0067710F" w:rsidP="00966ADA">
      <w:pPr>
        <w:spacing w:after="0" w:line="480" w:lineRule="auto"/>
        <w:ind w:firstLine="720"/>
        <w:jc w:val="both"/>
        <w:rPr>
          <w:rFonts w:ascii="Garamond" w:hAnsi="Garamond"/>
        </w:rPr>
      </w:pPr>
      <w:r>
        <w:rPr>
          <w:rFonts w:ascii="Garamond" w:hAnsi="Garamond"/>
        </w:rPr>
        <w:lastRenderedPageBreak/>
        <w:t>While our</w:t>
      </w:r>
      <w:r w:rsidRPr="00966ADA">
        <w:rPr>
          <w:rFonts w:ascii="Garamond" w:hAnsi="Garamond"/>
        </w:rPr>
        <w:t xml:space="preserve"> findings suggest that, in its current composite form, the SVI is not well aligned with the structural conditions most consistently associated with the </w:t>
      </w:r>
      <w:r w:rsidRPr="00035042">
        <w:rPr>
          <w:rFonts w:ascii="Garamond" w:hAnsi="Garamond"/>
          <w:i/>
          <w:iCs/>
        </w:rPr>
        <w:t>concentration of firearm violence</w:t>
      </w:r>
      <w:r w:rsidR="00432C15" w:rsidRPr="00432C15">
        <w:rPr>
          <w:rFonts w:ascii="Garamond" w:hAnsi="Garamond"/>
        </w:rPr>
        <w:t xml:space="preserve">, many of the dimensions captured by the SVI may </w:t>
      </w:r>
      <w:r w:rsidR="00490BFF">
        <w:rPr>
          <w:rFonts w:ascii="Garamond" w:hAnsi="Garamond"/>
        </w:rPr>
        <w:t xml:space="preserve">be </w:t>
      </w:r>
      <w:r w:rsidR="00432C15" w:rsidRPr="00432C15">
        <w:rPr>
          <w:rFonts w:ascii="Garamond" w:hAnsi="Garamond"/>
        </w:rPr>
        <w:t xml:space="preserve">relevant for understanding downstream community processes, including how communities </w:t>
      </w:r>
      <w:r w:rsidR="00432C15" w:rsidRPr="00035042">
        <w:rPr>
          <w:rFonts w:ascii="Garamond" w:hAnsi="Garamond"/>
          <w:i/>
          <w:iCs/>
        </w:rPr>
        <w:t>respond to</w:t>
      </w:r>
      <w:r w:rsidRPr="00035042">
        <w:rPr>
          <w:rFonts w:ascii="Garamond" w:hAnsi="Garamond"/>
          <w:i/>
          <w:iCs/>
        </w:rPr>
        <w:t xml:space="preserve"> </w:t>
      </w:r>
      <w:r w:rsidR="00432C15" w:rsidRPr="00035042">
        <w:rPr>
          <w:rFonts w:ascii="Garamond" w:hAnsi="Garamond"/>
          <w:i/>
          <w:iCs/>
        </w:rPr>
        <w:t>or recover from</w:t>
      </w:r>
      <w:r w:rsidR="00432C15" w:rsidRPr="00432C15">
        <w:rPr>
          <w:rFonts w:ascii="Garamond" w:hAnsi="Garamond"/>
        </w:rPr>
        <w:t xml:space="preserve"> </w:t>
      </w:r>
      <w:r w:rsidR="000778D9" w:rsidRPr="00035042">
        <w:rPr>
          <w:rFonts w:ascii="Garamond" w:hAnsi="Garamond"/>
          <w:i/>
          <w:iCs/>
        </w:rPr>
        <w:t>it</w:t>
      </w:r>
      <w:r w:rsidR="00432C15" w:rsidRPr="00432C15">
        <w:rPr>
          <w:rFonts w:ascii="Garamond" w:hAnsi="Garamond"/>
        </w:rPr>
        <w:t>. For instance, factors such as residential stability, transportation access, language barriers, and household structure may shape participation in community violence intervention initiatives, engagement with violence-prevention programming, cooperation with law enforcement, or the mobilization of resources in the aftermath of mass shootings and other traumatic events</w:t>
      </w:r>
      <w:r w:rsidR="0021268B">
        <w:rPr>
          <w:rFonts w:ascii="Garamond" w:hAnsi="Garamond" w:hint="eastAsia"/>
          <w:lang w:eastAsia="ko-KR"/>
        </w:rPr>
        <w:t xml:space="preserve"> </w:t>
      </w:r>
      <w:r w:rsidR="0021268B">
        <w:rPr>
          <w:rFonts w:ascii="Garamond" w:hAnsi="Garamond"/>
          <w:lang w:eastAsia="ko-KR"/>
        </w:rPr>
        <w:fldChar w:fldCharType="begin"/>
      </w:r>
      <w:r w:rsidR="00066DE5">
        <w:rPr>
          <w:rFonts w:ascii="Garamond" w:hAnsi="Garamond"/>
          <w:lang w:eastAsia="ko-KR"/>
        </w:rPr>
        <w:instrText xml:space="preserve"> ADDIN ZOTERO_ITEM CSL_CITATION {"citationID":"ntw6T6pp","properties":{"unsorted":false,"formattedCitation":"[13,50]","plainCitation":"[13,50]","noteIndex":0},"citationItems":[{"id":27442,"uris":["http://zotero.org/users/7595310/items/D8GFFGW8"],"itemData":{"id":27442,"type":"article-journal","abstract":"BACKGROUND: Violent injury survivors are at risk for revictimization. The St. Louis area hospital-based violence intervention program (HVIP), Life Outside of Violence (LOV), is the first multisystem, region-wide HVIP in the United States.\nOBJECTIVE: To describe the LOV program during its pilot phase and evaluate violent reinjury 1 year after index injury among LOV participants.\nDESIGN: Pilot observational cohort study of violently injured patients.\nSETTING: Data were queried from the program's multisystem data repository, which contains individual encounter-level data for all violent injury visits from the 2 adult and 2 pediatric LOV-partner level 1 trauma hospitals.\nPARTICIPANTS: Patients eligible for LOV who were violently injured between 15 August 2018 and 31 December 2022 and enrolled in LOV, matched to control participants of nonenrolled LOV-eligible patients selected from the data repository using propensity score matching.\nINTERVENTION: Participation in the LOV program.\nMEASUREMENTS: Sociodemographic characteristics, predictors of LOV enrollment, and returning to a LOV partner hospital with a violent reinjury within 1 year of index injury. The probability of violent reinjury and 95% CIs were compared between LOV participants and control participants using Kaplan-Meier estimates.\nRESULTS: 233 of 3744 eligible patients enrolled in LOV. Of 198 LOV-enrolled participants matched to 388 nonenrolled control participants, Kaplan-Meier estimates for 1-year probability of reinjury were 7.6% (95% CI, 3.8% to 11.2%) among LOV participants and 7.4% (CI, 4.8% to 10.0%) in control participants.\nLIMITATION: This pilot study cannot provide precise estimates of LOV intervention efficacy.\nCONCLUSION: Although no informative evidence of differences in reinjury probability for LOV participants was seen, findings suggest that the overwhelming risk in which our patients are immersed cannot be overcome by an approach scaled for individual-level impact.\nPRIMARY FUNDING SOURCE: Missouri Foundation for Health.","citation-key":"mueller_2025_anninternmed","container-title":"Annals of Internal Medicine","DOI":"10.7326/ANNALS-24-01576","ISSN":"1539-3704","issue":"8","journalAbbreviation":"Ann Intern Med","language":"eng","page":"1116-1126","PMID":"40658952","PMCID":"PMC12379808","source":"PubMed","title":"Evaluation of a region-wide hospital-based violence intervention program : a pilot cohort study","title-short":"Evaluation of a region-wide hospital-based violence intervention program","volume":"178","author":[{"family":"Mueller","given":"Kristen L."},{"family":"Kaser","given":"Taylor M."},{"family":"Cooper","given":"Benjamin P."},{"family":"Lew","given":"Daphne"},{"family":"Moran","given":"Vicki"},{"family":"Ancona","given":"Rachel M."},{"family":"Chapman-Kramer","given":"Kateri"},{"family":"Coffey","given":"Melik"},{"family":"Page","given":"Keyria"},{"family":"Batha","given":"Abigail"},{"family":"Harris","given":"Stephanie"},{"family":"Rice-Barnes","given":"Larita"},{"family":"Williams","given":"Marsha"},{"family":"Kranker","given":"Lindsay M."},{"family":"Spruce","given":"Marguerite W."},{"family":"Behr","given":"Christopher"},{"family":"Mancini","given":"Michael A."},{"family":"Schuerer","given":"Douglas J. E."},{"family":"Clukies","given":"Lindsay D."},{"family":"Santucci","given":"Nicole"},{"family":"Trolard","given":"Anne"},{"family":"Anwuri","given":"Victoria"},{"family":"Ranney","given":"Megan L."},{"family":"Foraker","given":"Randi E."},{"family":"Vogel","given":"Matt"}],"issued":{"date-parts":[["2025",8]]}}},{"id":27504,"uris":["http://zotero.org/users/7595310/items/P8J3ZRIK"],"itemData":{"id":27504,"type":"article-journal","citation-key":"__ho","container-title":"Trauma Surgery &amp; Acute Care Open","title":"“It is nice, but it can’t keep me safe”: Perspectives on the effectiveness of hospital-based violence intervention programs","author":[{"family":"Wical","given":"William"},{"family":"Williams","given":"Thomas"},{"family":"Strong","given":"Bethany"},{"family":"Baker","given":"Nazsa"},{"family":"Boulware","given":"Angel"},{"family":"Richardson","given":"Joseph"}]}}],"schema":"https://github.com/citation-style-language/schema/raw/master/csl-citation.json"} </w:instrText>
      </w:r>
      <w:r w:rsidR="0021268B">
        <w:rPr>
          <w:rFonts w:ascii="Garamond" w:hAnsi="Garamond"/>
          <w:lang w:eastAsia="ko-KR"/>
        </w:rPr>
        <w:fldChar w:fldCharType="separate"/>
      </w:r>
      <w:r w:rsidR="00066DE5" w:rsidRPr="00066DE5">
        <w:rPr>
          <w:rFonts w:ascii="Garamond" w:hAnsi="Garamond"/>
          <w:lang w:eastAsia="ko-KR"/>
        </w:rPr>
        <w:t>[13,50]</w:t>
      </w:r>
      <w:r w:rsidR="0021268B">
        <w:rPr>
          <w:rFonts w:ascii="Garamond" w:hAnsi="Garamond"/>
          <w:lang w:eastAsia="ko-KR"/>
        </w:rPr>
        <w:fldChar w:fldCharType="end"/>
      </w:r>
      <w:r w:rsidR="00432C15" w:rsidRPr="00432C15">
        <w:rPr>
          <w:rFonts w:ascii="Garamond" w:hAnsi="Garamond"/>
        </w:rPr>
        <w:t>. In this sense, the SVI may capture dimensions of community context that are highly relevant to community resilience, recovery, and responses to violence, even if those dimensions are comparatively orthogonal to the structural conditions most predictive of where firearm violence occurs.</w:t>
      </w:r>
      <w:r w:rsidR="00490BFF">
        <w:rPr>
          <w:rFonts w:ascii="Garamond" w:hAnsi="Garamond"/>
        </w:rPr>
        <w:t xml:space="preserve"> </w:t>
      </w:r>
      <w:r w:rsidR="00966ADA">
        <w:rPr>
          <w:rFonts w:ascii="Garamond" w:hAnsi="Garamond"/>
        </w:rPr>
        <w:t>That said, i</w:t>
      </w:r>
      <w:r w:rsidR="00966ADA" w:rsidRPr="00053EAF">
        <w:rPr>
          <w:rFonts w:ascii="Garamond" w:hAnsi="Garamond"/>
        </w:rPr>
        <w:t xml:space="preserve">f </w:t>
      </w:r>
      <w:r w:rsidR="005E707E" w:rsidRPr="00053EAF">
        <w:rPr>
          <w:rFonts w:ascii="Garamond" w:hAnsi="Garamond"/>
        </w:rPr>
        <w:t xml:space="preserve">the goal is to understand the structural roots of firearm violence, more </w:t>
      </w:r>
      <w:r w:rsidR="009C743F">
        <w:rPr>
          <w:rFonts w:ascii="Garamond" w:hAnsi="Garamond"/>
        </w:rPr>
        <w:t>theoretically aligned</w:t>
      </w:r>
      <w:r w:rsidR="009C743F" w:rsidRPr="00053EAF">
        <w:rPr>
          <w:rFonts w:ascii="Garamond" w:hAnsi="Garamond"/>
        </w:rPr>
        <w:t xml:space="preserve"> </w:t>
      </w:r>
      <w:r w:rsidR="005E707E" w:rsidRPr="00053EAF">
        <w:rPr>
          <w:rFonts w:ascii="Garamond" w:hAnsi="Garamond"/>
        </w:rPr>
        <w:t>indices already exist</w:t>
      </w:r>
      <w:r w:rsidR="001601D1">
        <w:rPr>
          <w:rFonts w:ascii="Garamond" w:hAnsi="Garamond"/>
        </w:rPr>
        <w:t xml:space="preserve"> and have</w:t>
      </w:r>
      <w:r w:rsidR="009C743F">
        <w:rPr>
          <w:rFonts w:ascii="Garamond" w:hAnsi="Garamond"/>
        </w:rPr>
        <w:t xml:space="preserve"> been widely used</w:t>
      </w:r>
      <w:r w:rsidR="001601D1">
        <w:rPr>
          <w:rFonts w:ascii="Garamond" w:hAnsi="Garamond"/>
        </w:rPr>
        <w:t xml:space="preserve"> for some time</w:t>
      </w:r>
      <w:r w:rsidR="005E707E" w:rsidRPr="005E707E">
        <w:rPr>
          <w:rFonts w:ascii="Garamond" w:hAnsi="Garamond"/>
        </w:rPr>
        <w:t xml:space="preserve">. </w:t>
      </w:r>
      <w:r w:rsidR="005E707E" w:rsidRPr="00807843">
        <w:rPr>
          <w:rFonts w:ascii="Garamond" w:hAnsi="Garamond"/>
        </w:rPr>
        <w:t xml:space="preserve">Measures of </w:t>
      </w:r>
      <w:r w:rsidR="005E707E" w:rsidRPr="00807843">
        <w:rPr>
          <w:rFonts w:ascii="Garamond" w:hAnsi="Garamond"/>
          <w:i/>
          <w:iCs/>
        </w:rPr>
        <w:t>concentrated disadvantage</w:t>
      </w:r>
      <w:r w:rsidR="005E707E" w:rsidRPr="00807843">
        <w:rPr>
          <w:rFonts w:ascii="Garamond" w:hAnsi="Garamond"/>
        </w:rPr>
        <w:t xml:space="preserve"> </w:t>
      </w:r>
      <w:r w:rsidR="00ED721D">
        <w:rPr>
          <w:rFonts w:ascii="Garamond" w:hAnsi="Garamond"/>
        </w:rPr>
        <w:fldChar w:fldCharType="begin"/>
      </w:r>
      <w:r w:rsidR="005548B3">
        <w:rPr>
          <w:rFonts w:ascii="Garamond" w:hAnsi="Garamond"/>
        </w:rPr>
        <w:instrText xml:space="preserve"> ADDIN ZOTERO_ITEM CSL_CITATION {"citationID":"8EccapYv","properties":{"unsorted":false,"formattedCitation":"[28,31]","plainCitation":"[28,31]","noteIndex":0},"citationItems":[{"id":27495,"uris":["http://zotero.org/users/7595310/items/WES9Q6GA"],"itemData":{"id":27495,"type":"book","abstract":"An assessment of the relationship between race and poverty in the United States, and potential solutions for the issue.  Renowned American sociologist William Julius Wilson takes a look at the social transformation of inner-city ghettos, offering a sharp evaluation of the convergence of race and poverty. Rejecting both conservative and liberal interpretations of life in the inner city, Wilson offers essential information and several solutions to policymakers. The Truly Disadvantaged is a wide-ranging examination, looking at the relationship between race, employment, and education from the 1950s onwards, with surprising and provocative findings. This second edition also includes a new afterword from Wilson himself that brings the book up to date and offers fresh insight into its findings.  Praise for The Truly Disadvantaged   \" The Truly Disadvantaged should spur critical thinking in many quarters about the causes and possible remedies for inner city poverty. As policymakers grapple with the problems of an enlarged underclass they—as well as community leaders and all concerned Americans of all races—would be advised to examine Mr. Wilson's incisive analysis.\" —Robert Greenstein, New York Times Book Review  \" The Truly Disadvantaged not only assembles a vast array of data gleamed from the works of specialists, it offers much new information and analysis. Wilson has asked the hard questions, he has done his homework, and he has dared to speak unpopular truths.\" — Los Angeles Times Book Review  \"Required reading for anyone, presidential candidate or private citizen, who really wants to address the growing plight of the black urban underclass.\" —David J. Garrow, Washington Post Book World","citation-key":"wilson_2012_a","ISBN":"978-0-226-92465-6","language":"en","note":"Google-Books-ID: N_tVVPXLfMIC","number-of-pages":"331","publisher":"University of Chicago Press","source":"Google Books","title":"The truly disadvantaged: The inner city, the underclass, and public policy","title-short":"The truly disadvantaged","author":[{"family":"Wilson","given":"William Julius"}],"issued":{"date-parts":[["2012",6,29]]}}},{"id":27464,"uris":["http://zotero.org/users/7595310/items/PW4E6K8M"],"itemData":{"id":27464,"type":"article-journal","abstract":"It is hypothesized that collective efficacy, defined as social cohesion among neighbors combined with their willingness to intervene on behalf of the common good, is linked to reduced violence. This hypothesis was tested on a 1995 survey of 8782 residents of 343 neighborhoods in Chicago, Illinois. Multilevel analyses showed that a measure of collective efficacy yields a high between-neighborhood reliability and is negatively associated with variations in violence, when individual-level characteristics, measurement error, and prior violence are controlled. Associations of concentrated disadvantage and residential instability with violence are largely mediated by collective efficacy.","citation-key":"sampson_1997_sciencec","container-title":"Science","DOI":"10.1126/science.277.5328.918","ISSN":"0036-8075, 1095-9203","issue":"5328","journalAbbreviation":"Science","language":"en","page":"918-924","source":"DOI.org (Crossref)","title":"Neighborhoods and violent crime: a multilevel study of collective efficacy","title-short":"Neighborhoods and violent crime","volume":"277","author":[{"family":"Sampson","given":"Robert J."},{"family":"Raudenbush","given":"Stephen W."},{"family":"Earls","given":"Felton"}],"issued":{"date-parts":[["1997",8,15]]}}}],"schema":"https://github.com/citation-style-language/schema/raw/master/csl-citation.json"} </w:instrText>
      </w:r>
      <w:r w:rsidR="00ED721D">
        <w:rPr>
          <w:rFonts w:ascii="Garamond" w:hAnsi="Garamond"/>
        </w:rPr>
        <w:fldChar w:fldCharType="separate"/>
      </w:r>
      <w:r w:rsidR="005548B3" w:rsidRPr="005548B3">
        <w:rPr>
          <w:rFonts w:ascii="Garamond" w:hAnsi="Garamond"/>
        </w:rPr>
        <w:t>[28,31]</w:t>
      </w:r>
      <w:r w:rsidR="00ED721D">
        <w:rPr>
          <w:rFonts w:ascii="Garamond" w:hAnsi="Garamond"/>
        </w:rPr>
        <w:fldChar w:fldCharType="end"/>
      </w:r>
      <w:r w:rsidR="005E707E" w:rsidRPr="00807843">
        <w:rPr>
          <w:rFonts w:ascii="Garamond" w:hAnsi="Garamond"/>
        </w:rPr>
        <w:t xml:space="preserve"> have clear theoretical grounding and empirically stable properties.</w:t>
      </w:r>
      <w:r w:rsidR="005E707E" w:rsidRPr="005E707E">
        <w:rPr>
          <w:rFonts w:ascii="Garamond" w:hAnsi="Garamond"/>
        </w:rPr>
        <w:t xml:space="preserve"> More broadly, researchers should resist the </w:t>
      </w:r>
      <w:r w:rsidR="00CF6B43">
        <w:rPr>
          <w:rFonts w:ascii="Garamond" w:hAnsi="Garamond"/>
        </w:rPr>
        <w:t>urge</w:t>
      </w:r>
      <w:r w:rsidR="005E707E" w:rsidRPr="005E707E">
        <w:rPr>
          <w:rFonts w:ascii="Garamond" w:hAnsi="Garamond"/>
        </w:rPr>
        <w:t xml:space="preserve"> to substitute convenience for construct validity. The diffusion of readily available indices like the SVI into violence research illustrates the </w:t>
      </w:r>
      <w:r w:rsidR="00525E7A">
        <w:rPr>
          <w:rFonts w:ascii="Garamond" w:hAnsi="Garamond"/>
        </w:rPr>
        <w:t>pitfalls</w:t>
      </w:r>
      <w:r w:rsidR="005E707E" w:rsidRPr="005E707E">
        <w:rPr>
          <w:rFonts w:ascii="Garamond" w:hAnsi="Garamond"/>
        </w:rPr>
        <w:t xml:space="preserve"> of </w:t>
      </w:r>
      <w:r w:rsidR="005E707E" w:rsidRPr="00047E9A">
        <w:rPr>
          <w:rFonts w:ascii="Garamond" w:hAnsi="Garamond"/>
        </w:rPr>
        <w:t>data opportunism</w:t>
      </w:r>
      <w:r w:rsidR="00525E7A">
        <w:rPr>
          <w:rFonts w:ascii="Garamond" w:hAnsi="Garamond"/>
        </w:rPr>
        <w:t>. W</w:t>
      </w:r>
      <w:r w:rsidR="005E707E" w:rsidRPr="005E707E">
        <w:rPr>
          <w:rFonts w:ascii="Garamond" w:hAnsi="Garamond"/>
        </w:rPr>
        <w:t xml:space="preserve">hen the </w:t>
      </w:r>
      <w:r w:rsidR="00525E7A">
        <w:rPr>
          <w:rFonts w:ascii="Garamond" w:hAnsi="Garamond"/>
        </w:rPr>
        <w:t>ready availability of</w:t>
      </w:r>
      <w:r w:rsidR="005E707E" w:rsidRPr="005E707E">
        <w:rPr>
          <w:rFonts w:ascii="Garamond" w:hAnsi="Garamond"/>
        </w:rPr>
        <w:t xml:space="preserve"> </w:t>
      </w:r>
      <w:r w:rsidR="00713961">
        <w:rPr>
          <w:rFonts w:ascii="Garamond" w:hAnsi="Garamond"/>
        </w:rPr>
        <w:t>off-the-shelf</w:t>
      </w:r>
      <w:r w:rsidR="00525E7A">
        <w:rPr>
          <w:rFonts w:ascii="Garamond" w:hAnsi="Garamond"/>
        </w:rPr>
        <w:t xml:space="preserve"> measure</w:t>
      </w:r>
      <w:r w:rsidR="00810ABD">
        <w:rPr>
          <w:rFonts w:ascii="Garamond" w:hAnsi="Garamond"/>
        </w:rPr>
        <w:t>s</w:t>
      </w:r>
      <w:r w:rsidR="00525E7A">
        <w:rPr>
          <w:rFonts w:ascii="Garamond" w:hAnsi="Garamond"/>
        </w:rPr>
        <w:t xml:space="preserve"> </w:t>
      </w:r>
      <w:proofErr w:type="gramStart"/>
      <w:r w:rsidR="005E707E" w:rsidRPr="005E707E">
        <w:rPr>
          <w:rFonts w:ascii="Garamond" w:hAnsi="Garamond"/>
        </w:rPr>
        <w:t>outpaces</w:t>
      </w:r>
      <w:proofErr w:type="gramEnd"/>
      <w:r w:rsidR="005E707E" w:rsidRPr="005E707E">
        <w:rPr>
          <w:rFonts w:ascii="Garamond" w:hAnsi="Garamond"/>
        </w:rPr>
        <w:t xml:space="preserve"> theoretical justification</w:t>
      </w:r>
      <w:r w:rsidR="00352AE2">
        <w:rPr>
          <w:rFonts w:ascii="Garamond" w:hAnsi="Garamond"/>
        </w:rPr>
        <w:t xml:space="preserve">, </w:t>
      </w:r>
      <w:proofErr w:type="gramStart"/>
      <w:r w:rsidR="00352AE2">
        <w:rPr>
          <w:rFonts w:ascii="Garamond" w:hAnsi="Garamond"/>
        </w:rPr>
        <w:t>the end result</w:t>
      </w:r>
      <w:proofErr w:type="gramEnd"/>
      <w:r w:rsidR="00352AE2">
        <w:rPr>
          <w:rFonts w:ascii="Garamond" w:hAnsi="Garamond"/>
        </w:rPr>
        <w:t xml:space="preserve"> is a metric of community </w:t>
      </w:r>
      <w:r w:rsidR="00574C77">
        <w:rPr>
          <w:rFonts w:ascii="Garamond" w:hAnsi="Garamond"/>
        </w:rPr>
        <w:t>risk</w:t>
      </w:r>
      <w:r w:rsidR="00352AE2">
        <w:rPr>
          <w:rFonts w:ascii="Garamond" w:hAnsi="Garamond"/>
        </w:rPr>
        <w:t xml:space="preserve"> </w:t>
      </w:r>
      <w:r w:rsidR="0092298B">
        <w:rPr>
          <w:rFonts w:ascii="Garamond" w:hAnsi="Garamond"/>
        </w:rPr>
        <w:t xml:space="preserve">potentially </w:t>
      </w:r>
      <w:r w:rsidR="00352AE2">
        <w:rPr>
          <w:rFonts w:ascii="Garamond" w:hAnsi="Garamond"/>
        </w:rPr>
        <w:t xml:space="preserve">diluted </w:t>
      </w:r>
      <w:r w:rsidR="00574C77">
        <w:rPr>
          <w:rFonts w:ascii="Garamond" w:hAnsi="Garamond"/>
        </w:rPr>
        <w:t>by</w:t>
      </w:r>
      <w:r w:rsidR="00352AE2">
        <w:rPr>
          <w:rFonts w:ascii="Garamond" w:hAnsi="Garamond"/>
        </w:rPr>
        <w:t xml:space="preserve"> measurement error</w:t>
      </w:r>
      <w:r w:rsidR="005E707E" w:rsidRPr="005E707E">
        <w:rPr>
          <w:rFonts w:ascii="Garamond" w:hAnsi="Garamond"/>
        </w:rPr>
        <w:t xml:space="preserve">. The resulting models may be statistically significant but substantively </w:t>
      </w:r>
      <w:r w:rsidR="00352AE2">
        <w:rPr>
          <w:rFonts w:ascii="Garamond" w:hAnsi="Garamond"/>
        </w:rPr>
        <w:t>noisy</w:t>
      </w:r>
      <w:r w:rsidR="005E707E" w:rsidRPr="005E707E">
        <w:rPr>
          <w:rFonts w:ascii="Garamond" w:hAnsi="Garamond"/>
        </w:rPr>
        <w:t>.</w:t>
      </w:r>
    </w:p>
    <w:p w14:paraId="4273720D" w14:textId="6C3F3A41" w:rsidR="005E707E" w:rsidRDefault="001D6F53" w:rsidP="00C028DE">
      <w:pPr>
        <w:spacing w:after="0" w:line="480" w:lineRule="auto"/>
        <w:ind w:firstLine="720"/>
        <w:jc w:val="both"/>
        <w:rPr>
          <w:rFonts w:ascii="Garamond" w:hAnsi="Garamond"/>
        </w:rPr>
      </w:pPr>
      <w:r>
        <w:rPr>
          <w:rFonts w:ascii="Garamond" w:hAnsi="Garamond"/>
        </w:rPr>
        <w:t>Of course, the present application is not without limitations. Our</w:t>
      </w:r>
      <w:r w:rsidR="005E707E" w:rsidRPr="005E707E">
        <w:rPr>
          <w:rFonts w:ascii="Garamond" w:hAnsi="Garamond"/>
        </w:rPr>
        <w:t xml:space="preserve"> cross-sectional design limits causal inference</w:t>
      </w:r>
      <w:r w:rsidR="00525E7A">
        <w:rPr>
          <w:rFonts w:ascii="Garamond" w:hAnsi="Garamond"/>
        </w:rPr>
        <w:t xml:space="preserve"> (which was not the overall intent of the paper)</w:t>
      </w:r>
      <w:r w:rsidR="00BD2AC6">
        <w:rPr>
          <w:rFonts w:ascii="Garamond" w:hAnsi="Garamond"/>
        </w:rPr>
        <w:t>. We focus explicitly</w:t>
      </w:r>
      <w:r w:rsidR="005E707E" w:rsidRPr="005E707E">
        <w:rPr>
          <w:rFonts w:ascii="Garamond" w:hAnsi="Garamond"/>
        </w:rPr>
        <w:t xml:space="preserve"> on firearm homicide rates, which </w:t>
      </w:r>
      <w:r w:rsidR="000B5377">
        <w:rPr>
          <w:rFonts w:ascii="Garamond" w:hAnsi="Garamond"/>
        </w:rPr>
        <w:t>differ in important ways</w:t>
      </w:r>
      <w:r w:rsidR="005E707E" w:rsidRPr="005E707E">
        <w:rPr>
          <w:rFonts w:ascii="Garamond" w:hAnsi="Garamond"/>
        </w:rPr>
        <w:t xml:space="preserve"> from nonfatal firearm injurie</w:t>
      </w:r>
      <w:r w:rsidR="000B5377">
        <w:rPr>
          <w:rFonts w:ascii="Garamond" w:hAnsi="Garamond"/>
        </w:rPr>
        <w:t>s, accidents, and acts of self-harm</w:t>
      </w:r>
      <w:r w:rsidR="005E707E" w:rsidRPr="005E707E">
        <w:rPr>
          <w:rFonts w:ascii="Garamond" w:hAnsi="Garamond"/>
        </w:rPr>
        <w:t xml:space="preserve">. Future work could evaluate whether the SVI performs differently across </w:t>
      </w:r>
      <w:r w:rsidR="000B5377">
        <w:rPr>
          <w:rFonts w:ascii="Garamond" w:hAnsi="Garamond"/>
        </w:rPr>
        <w:t xml:space="preserve">these </w:t>
      </w:r>
      <w:r w:rsidR="005E707E" w:rsidRPr="005E707E">
        <w:rPr>
          <w:rFonts w:ascii="Garamond" w:hAnsi="Garamond"/>
        </w:rPr>
        <w:t xml:space="preserve">outcomes or </w:t>
      </w:r>
      <w:r w:rsidR="000B5377">
        <w:rPr>
          <w:rFonts w:ascii="Garamond" w:hAnsi="Garamond"/>
        </w:rPr>
        <w:t xml:space="preserve">other </w:t>
      </w:r>
      <w:r w:rsidR="005E707E" w:rsidRPr="005E707E">
        <w:rPr>
          <w:rFonts w:ascii="Garamond" w:hAnsi="Garamond"/>
        </w:rPr>
        <w:t xml:space="preserve">geographic scales, </w:t>
      </w:r>
      <w:r w:rsidR="000B5377">
        <w:rPr>
          <w:rFonts w:ascii="Garamond" w:hAnsi="Garamond"/>
        </w:rPr>
        <w:t>al</w:t>
      </w:r>
      <w:r w:rsidR="005E707E" w:rsidRPr="005E707E">
        <w:rPr>
          <w:rFonts w:ascii="Garamond" w:hAnsi="Garamond"/>
        </w:rPr>
        <w:t xml:space="preserve">though existing evidence suggests the underlying </w:t>
      </w:r>
      <w:r w:rsidR="00730458">
        <w:rPr>
          <w:rFonts w:ascii="Garamond" w:hAnsi="Garamond"/>
        </w:rPr>
        <w:t>measurement</w:t>
      </w:r>
      <w:r w:rsidR="005E707E" w:rsidRPr="005E707E">
        <w:rPr>
          <w:rFonts w:ascii="Garamond" w:hAnsi="Garamond"/>
        </w:rPr>
        <w:t xml:space="preserve"> issues would</w:t>
      </w:r>
      <w:r w:rsidR="00BC04B0">
        <w:rPr>
          <w:rFonts w:ascii="Garamond" w:hAnsi="Garamond"/>
        </w:rPr>
        <w:t xml:space="preserve"> more than likely </w:t>
      </w:r>
      <w:r w:rsidR="005E707E" w:rsidRPr="005E707E">
        <w:rPr>
          <w:rFonts w:ascii="Garamond" w:hAnsi="Garamond"/>
        </w:rPr>
        <w:t xml:space="preserve">persist. A related avenue </w:t>
      </w:r>
      <w:r w:rsidR="00BC04B0">
        <w:rPr>
          <w:rFonts w:ascii="Garamond" w:hAnsi="Garamond"/>
        </w:rPr>
        <w:t>might</w:t>
      </w:r>
      <w:r w:rsidR="00730458">
        <w:rPr>
          <w:rFonts w:ascii="Garamond" w:hAnsi="Garamond"/>
        </w:rPr>
        <w:t xml:space="preserve"> </w:t>
      </w:r>
      <w:r w:rsidR="005E707E" w:rsidRPr="005E707E">
        <w:rPr>
          <w:rFonts w:ascii="Garamond" w:hAnsi="Garamond"/>
        </w:rPr>
        <w:t xml:space="preserve">involve decomposing the SVI’s domains via </w:t>
      </w:r>
      <w:r w:rsidR="005E707E" w:rsidRPr="005E707E">
        <w:rPr>
          <w:rFonts w:ascii="Garamond" w:hAnsi="Garamond"/>
        </w:rPr>
        <w:lastRenderedPageBreak/>
        <w:t>confirmatory factor analysis</w:t>
      </w:r>
      <w:r w:rsidR="00CD38E3">
        <w:rPr>
          <w:rFonts w:ascii="Garamond" w:hAnsi="Garamond"/>
        </w:rPr>
        <w:t xml:space="preserve"> or a more formal measurement model</w:t>
      </w:r>
      <w:r w:rsidR="005E707E" w:rsidRPr="005E707E">
        <w:rPr>
          <w:rFonts w:ascii="Garamond" w:hAnsi="Garamond"/>
        </w:rPr>
        <w:t xml:space="preserve"> to assess whether alternative weighting</w:t>
      </w:r>
      <w:r w:rsidR="00BC04B0">
        <w:rPr>
          <w:rFonts w:ascii="Garamond" w:hAnsi="Garamond"/>
        </w:rPr>
        <w:t xml:space="preserve"> strategies</w:t>
      </w:r>
      <w:r w:rsidR="005E707E" w:rsidRPr="005E707E">
        <w:rPr>
          <w:rFonts w:ascii="Garamond" w:hAnsi="Garamond"/>
        </w:rPr>
        <w:t xml:space="preserve"> could yield a more coherent construct.</w:t>
      </w:r>
      <w:r w:rsidR="00047E9A">
        <w:rPr>
          <w:rFonts w:ascii="Garamond" w:hAnsi="Garamond"/>
        </w:rPr>
        <w:t xml:space="preserve"> </w:t>
      </w:r>
    </w:p>
    <w:p w14:paraId="400543F0" w14:textId="69BFC3F4" w:rsidR="00BC04B0" w:rsidRDefault="00536347" w:rsidP="00B3671A">
      <w:pPr>
        <w:spacing w:after="0" w:line="480" w:lineRule="auto"/>
        <w:ind w:firstLine="720"/>
        <w:jc w:val="both"/>
        <w:rPr>
          <w:rFonts w:ascii="Garamond" w:hAnsi="Garamond"/>
        </w:rPr>
      </w:pPr>
      <w:r>
        <w:rPr>
          <w:rFonts w:ascii="Garamond" w:hAnsi="Garamond"/>
        </w:rPr>
        <w:t>In closing, t</w:t>
      </w:r>
      <w:r w:rsidR="008A2B7D" w:rsidRPr="007F5FA9">
        <w:rPr>
          <w:rFonts w:ascii="Garamond" w:hAnsi="Garamond"/>
        </w:rPr>
        <w:t xml:space="preserve">he proliferation of the </w:t>
      </w:r>
      <w:r w:rsidR="00DE1CC6">
        <w:rPr>
          <w:rFonts w:ascii="Garamond" w:hAnsi="Garamond"/>
        </w:rPr>
        <w:t>SVI</w:t>
      </w:r>
      <w:r w:rsidR="008A2B7D" w:rsidRPr="007F5FA9">
        <w:rPr>
          <w:rFonts w:ascii="Garamond" w:hAnsi="Garamond"/>
        </w:rPr>
        <w:t xml:space="preserve"> in firearm research illustrates how measures can drift far from their conceptual origins</w:t>
      </w:r>
      <w:r w:rsidR="00713961">
        <w:rPr>
          <w:rFonts w:ascii="Garamond" w:hAnsi="Garamond"/>
        </w:rPr>
        <w:t xml:space="preserve"> in applied settings</w:t>
      </w:r>
      <w:r w:rsidR="008A2B7D" w:rsidRPr="007F5FA9">
        <w:rPr>
          <w:rFonts w:ascii="Garamond" w:hAnsi="Garamond"/>
        </w:rPr>
        <w:t>.</w:t>
      </w:r>
      <w:r w:rsidR="00CD38E3">
        <w:rPr>
          <w:rFonts w:ascii="Garamond" w:hAnsi="Garamond"/>
        </w:rPr>
        <w:t xml:space="preserve"> In this case, </w:t>
      </w:r>
      <w:r w:rsidR="00CD38E3" w:rsidRPr="007F5FA9">
        <w:rPr>
          <w:rFonts w:ascii="Garamond" w:hAnsi="Garamond"/>
        </w:rPr>
        <w:t>when</w:t>
      </w:r>
      <w:r w:rsidR="00CD38E3">
        <w:rPr>
          <w:rFonts w:ascii="Garamond" w:hAnsi="Garamond"/>
        </w:rPr>
        <w:t xml:space="preserve"> </w:t>
      </w:r>
      <w:r w:rsidR="008A2B7D" w:rsidRPr="007F5FA9">
        <w:rPr>
          <w:rFonts w:ascii="Garamond" w:hAnsi="Garamond"/>
        </w:rPr>
        <w:t>ind</w:t>
      </w:r>
      <w:r w:rsidR="00CD38E3">
        <w:rPr>
          <w:rFonts w:ascii="Garamond" w:hAnsi="Garamond"/>
        </w:rPr>
        <w:t>ices</w:t>
      </w:r>
      <w:r w:rsidR="008A2B7D" w:rsidRPr="007F5FA9">
        <w:rPr>
          <w:rFonts w:ascii="Garamond" w:hAnsi="Garamond"/>
        </w:rPr>
        <w:t xml:space="preserve"> designed for disaster response </w:t>
      </w:r>
      <w:r w:rsidR="00CD38E3">
        <w:rPr>
          <w:rFonts w:ascii="Garamond" w:hAnsi="Garamond"/>
        </w:rPr>
        <w:t>are</w:t>
      </w:r>
      <w:r w:rsidR="008A2B7D" w:rsidRPr="007F5FA9">
        <w:rPr>
          <w:rFonts w:ascii="Garamond" w:hAnsi="Garamond"/>
        </w:rPr>
        <w:t xml:space="preserve"> applied to criminological outcomes, they risk </w:t>
      </w:r>
      <w:r w:rsidR="00DC4580">
        <w:rPr>
          <w:rFonts w:ascii="Garamond" w:hAnsi="Garamond"/>
        </w:rPr>
        <w:t>reframing</w:t>
      </w:r>
      <w:r w:rsidR="00DC4580" w:rsidRPr="007F5FA9">
        <w:rPr>
          <w:rFonts w:ascii="Garamond" w:hAnsi="Garamond"/>
        </w:rPr>
        <w:t xml:space="preserve"> </w:t>
      </w:r>
      <w:r w:rsidR="008A2B7D" w:rsidRPr="007F5FA9">
        <w:rPr>
          <w:rFonts w:ascii="Garamond" w:hAnsi="Garamond"/>
        </w:rPr>
        <w:t xml:space="preserve">structural </w:t>
      </w:r>
      <w:r w:rsidR="005A5B5D" w:rsidRPr="007F5FA9">
        <w:rPr>
          <w:rFonts w:ascii="Garamond" w:hAnsi="Garamond"/>
        </w:rPr>
        <w:t>disadvantages</w:t>
      </w:r>
      <w:r w:rsidR="008A2B7D" w:rsidRPr="007F5FA9">
        <w:rPr>
          <w:rFonts w:ascii="Garamond" w:hAnsi="Garamond"/>
        </w:rPr>
        <w:t xml:space="preserve"> </w:t>
      </w:r>
      <w:r w:rsidR="00DC4580">
        <w:rPr>
          <w:rFonts w:ascii="Garamond" w:hAnsi="Garamond"/>
        </w:rPr>
        <w:t>through the language of</w:t>
      </w:r>
      <w:r w:rsidR="00DC4580" w:rsidRPr="007F5FA9">
        <w:rPr>
          <w:rFonts w:ascii="Garamond" w:hAnsi="Garamond"/>
        </w:rPr>
        <w:t xml:space="preserve"> </w:t>
      </w:r>
      <w:r w:rsidR="008A2B7D" w:rsidRPr="007F5FA9">
        <w:rPr>
          <w:rFonts w:ascii="Garamond" w:hAnsi="Garamond"/>
        </w:rPr>
        <w:t xml:space="preserve">community fragility. Policymakers relying on the SVI to target violence-prevention resources may inadvertently reinforce stigmatizing narratives or misallocate </w:t>
      </w:r>
      <w:r w:rsidR="00681B83">
        <w:rPr>
          <w:rFonts w:ascii="Garamond" w:hAnsi="Garamond"/>
        </w:rPr>
        <w:t>resources</w:t>
      </w:r>
      <w:r w:rsidR="008A2B7D" w:rsidRPr="007F5FA9">
        <w:rPr>
          <w:rFonts w:ascii="Garamond" w:hAnsi="Garamond"/>
        </w:rPr>
        <w:t xml:space="preserve"> to areas that appear “vulnerable” but are not empirically at highest risk. Effective prevention</w:t>
      </w:r>
      <w:r w:rsidR="00681B83">
        <w:rPr>
          <w:rFonts w:ascii="Garamond" w:hAnsi="Garamond"/>
        </w:rPr>
        <w:t xml:space="preserve"> and response</w:t>
      </w:r>
      <w:r w:rsidR="008A2B7D" w:rsidRPr="007F5FA9">
        <w:rPr>
          <w:rFonts w:ascii="Garamond" w:hAnsi="Garamond"/>
        </w:rPr>
        <w:t xml:space="preserve"> </w:t>
      </w:r>
      <w:r w:rsidR="00681B83" w:rsidRPr="007F5FA9">
        <w:rPr>
          <w:rFonts w:ascii="Garamond" w:hAnsi="Garamond"/>
        </w:rPr>
        <w:t>require</w:t>
      </w:r>
      <w:r w:rsidR="008A2B7D" w:rsidRPr="007F5FA9">
        <w:rPr>
          <w:rFonts w:ascii="Garamond" w:hAnsi="Garamond"/>
        </w:rPr>
        <w:t xml:space="preserve"> measures that capture mechanisms of inequality, segregation, and institutional disinvestment—factors that reflect the production of violence rather than vulnerability to </w:t>
      </w:r>
      <w:r w:rsidR="00CD38E3">
        <w:rPr>
          <w:rFonts w:ascii="Garamond" w:hAnsi="Garamond"/>
        </w:rPr>
        <w:t>external</w:t>
      </w:r>
      <w:r w:rsidR="008A2B7D" w:rsidRPr="007F5FA9">
        <w:rPr>
          <w:rFonts w:ascii="Garamond" w:hAnsi="Garamond"/>
        </w:rPr>
        <w:t xml:space="preserve"> hazards. </w:t>
      </w:r>
      <w:r w:rsidR="00681B83">
        <w:rPr>
          <w:rFonts w:ascii="Garamond" w:hAnsi="Garamond"/>
        </w:rPr>
        <w:t>Theoretically</w:t>
      </w:r>
      <w:r w:rsidR="008A2B7D" w:rsidRPr="007F5FA9">
        <w:rPr>
          <w:rFonts w:ascii="Garamond" w:hAnsi="Garamond"/>
        </w:rPr>
        <w:t xml:space="preserve"> grounded</w:t>
      </w:r>
      <w:r w:rsidR="00B4516F">
        <w:rPr>
          <w:rFonts w:ascii="Garamond" w:hAnsi="Garamond"/>
        </w:rPr>
        <w:t xml:space="preserve"> and</w:t>
      </w:r>
      <w:r w:rsidR="008A2B7D" w:rsidRPr="007F5FA9">
        <w:rPr>
          <w:rFonts w:ascii="Garamond" w:hAnsi="Garamond"/>
        </w:rPr>
        <w:t xml:space="preserve"> empirically validated </w:t>
      </w:r>
      <w:r w:rsidR="00681B83">
        <w:rPr>
          <w:rFonts w:ascii="Garamond" w:hAnsi="Garamond"/>
        </w:rPr>
        <w:t>measures</w:t>
      </w:r>
      <w:r w:rsidR="008A2B7D" w:rsidRPr="007F5FA9">
        <w:rPr>
          <w:rFonts w:ascii="Garamond" w:hAnsi="Garamond"/>
        </w:rPr>
        <w:t xml:space="preserve"> remain the most appropriate tools for understanding and mitigating firearm harm</w:t>
      </w:r>
      <w:r w:rsidR="005A5B5D">
        <w:rPr>
          <w:rFonts w:ascii="Garamond" w:hAnsi="Garamond"/>
        </w:rPr>
        <w:t xml:space="preserve">. </w:t>
      </w:r>
      <w:r w:rsidR="00922E48" w:rsidRPr="004838B1">
        <w:rPr>
          <w:rFonts w:ascii="Garamond" w:hAnsi="Garamond"/>
        </w:rPr>
        <w:t>Ultimately, this critique is not a dismissal of the SVI’s value in its intended context. It remains a useful tool for identifying communities vulnerable to disaster impacts or health emergencies. But its extension into the study of firearm violence illustrates a broader challenge in interdisciplinary research</w:t>
      </w:r>
      <w:r w:rsidR="00D14770">
        <w:rPr>
          <w:rFonts w:ascii="Garamond" w:hAnsi="Garamond"/>
        </w:rPr>
        <w:t>--</w:t>
      </w:r>
      <w:r w:rsidR="00922E48" w:rsidRPr="004838B1">
        <w:rPr>
          <w:rFonts w:ascii="Garamond" w:hAnsi="Garamond"/>
        </w:rPr>
        <w:t xml:space="preserve">the temptation to repurpose accessible metrics without adequate theoretical grounding. Clarifying the boundaries between </w:t>
      </w:r>
      <w:r w:rsidR="00922E48" w:rsidRPr="004838B1">
        <w:rPr>
          <w:rFonts w:ascii="Garamond" w:hAnsi="Garamond"/>
          <w:i/>
          <w:iCs/>
        </w:rPr>
        <w:t>vulnerability</w:t>
      </w:r>
      <w:r w:rsidR="00922E48" w:rsidRPr="004838B1">
        <w:rPr>
          <w:rFonts w:ascii="Garamond" w:hAnsi="Garamond"/>
        </w:rPr>
        <w:t xml:space="preserve">, </w:t>
      </w:r>
      <w:r w:rsidR="00922E48" w:rsidRPr="004838B1">
        <w:rPr>
          <w:rFonts w:ascii="Garamond" w:hAnsi="Garamond"/>
          <w:i/>
          <w:iCs/>
        </w:rPr>
        <w:t>disadvantage</w:t>
      </w:r>
      <w:r w:rsidR="00922E48" w:rsidRPr="004838B1">
        <w:rPr>
          <w:rFonts w:ascii="Garamond" w:hAnsi="Garamond"/>
        </w:rPr>
        <w:t xml:space="preserve">, and </w:t>
      </w:r>
      <w:r w:rsidR="00922E48" w:rsidRPr="004838B1">
        <w:rPr>
          <w:rFonts w:ascii="Garamond" w:hAnsi="Garamond"/>
          <w:i/>
          <w:iCs/>
        </w:rPr>
        <w:t>violence risk</w:t>
      </w:r>
      <w:r w:rsidR="00922E48" w:rsidRPr="004838B1">
        <w:rPr>
          <w:rFonts w:ascii="Garamond" w:hAnsi="Garamond"/>
        </w:rPr>
        <w:t xml:space="preserve"> is essential not only for empirical validity but also for </w:t>
      </w:r>
      <w:r w:rsidR="007D1604">
        <w:rPr>
          <w:rFonts w:ascii="Garamond" w:hAnsi="Garamond"/>
        </w:rPr>
        <w:t xml:space="preserve">developing </w:t>
      </w:r>
      <w:r w:rsidR="00D14770">
        <w:rPr>
          <w:rFonts w:ascii="Garamond" w:hAnsi="Garamond"/>
        </w:rPr>
        <w:t>effective interventi</w:t>
      </w:r>
      <w:r w:rsidR="007D1604">
        <w:rPr>
          <w:rFonts w:ascii="Garamond" w:hAnsi="Garamond"/>
        </w:rPr>
        <w:t>ons</w:t>
      </w:r>
      <w:r w:rsidR="00922E48" w:rsidRPr="004838B1">
        <w:rPr>
          <w:rFonts w:ascii="Garamond" w:hAnsi="Garamond"/>
        </w:rPr>
        <w:t xml:space="preserve">. </w:t>
      </w:r>
    </w:p>
    <w:p w14:paraId="7E5A2129" w14:textId="77777777" w:rsidR="00D547F7" w:rsidRDefault="00D547F7" w:rsidP="00B3671A">
      <w:pPr>
        <w:spacing w:after="0" w:line="480" w:lineRule="auto"/>
        <w:ind w:firstLine="720"/>
        <w:jc w:val="both"/>
        <w:rPr>
          <w:rFonts w:ascii="Garamond" w:hAnsi="Garamond"/>
        </w:rPr>
      </w:pPr>
    </w:p>
    <w:p w14:paraId="57433BC7" w14:textId="77777777" w:rsidR="00C808D1" w:rsidRPr="008F46C1" w:rsidRDefault="00C808D1" w:rsidP="00C808D1">
      <w:pPr>
        <w:spacing w:after="0" w:line="240" w:lineRule="auto"/>
        <w:jc w:val="both"/>
        <w:rPr>
          <w:rFonts w:ascii="Times New Roman" w:hAnsi="Times New Roman" w:cs="Times New Roman"/>
          <w:b/>
          <w:bCs/>
        </w:rPr>
      </w:pPr>
      <w:r w:rsidRPr="008F46C1">
        <w:rPr>
          <w:rFonts w:ascii="Times New Roman" w:hAnsi="Times New Roman" w:cs="Times New Roman"/>
          <w:b/>
          <w:bCs/>
        </w:rPr>
        <w:t>References</w:t>
      </w:r>
    </w:p>
    <w:p w14:paraId="4959374E" w14:textId="77777777" w:rsidR="00C808D1" w:rsidRPr="008F46C1" w:rsidRDefault="00C808D1" w:rsidP="00C808D1">
      <w:pPr>
        <w:spacing w:after="0" w:line="240" w:lineRule="auto"/>
        <w:jc w:val="both"/>
        <w:rPr>
          <w:rFonts w:ascii="Times New Roman" w:hAnsi="Times New Roman" w:cs="Times New Roman"/>
          <w:b/>
          <w:bCs/>
        </w:rPr>
      </w:pPr>
    </w:p>
    <w:p w14:paraId="4D677D77" w14:textId="77777777" w:rsidR="00066DE5" w:rsidRPr="008F46C1" w:rsidRDefault="00E85600" w:rsidP="00066DE5">
      <w:pPr>
        <w:pStyle w:val="Bibliography"/>
        <w:rPr>
          <w:rFonts w:ascii="Times New Roman" w:hAnsi="Times New Roman" w:cs="Times New Roman"/>
        </w:rPr>
      </w:pPr>
      <w:r w:rsidRPr="008F46C1">
        <w:rPr>
          <w:rFonts w:ascii="Times New Roman" w:hAnsi="Times New Roman" w:cs="Times New Roman"/>
        </w:rPr>
        <w:fldChar w:fldCharType="begin"/>
      </w:r>
      <w:r w:rsidRPr="008F46C1">
        <w:rPr>
          <w:rFonts w:ascii="Times New Roman" w:hAnsi="Times New Roman" w:cs="Times New Roman"/>
        </w:rPr>
        <w:instrText xml:space="preserve"> ADDIN ZOTERO_BIBL {"uncited":[],"omitted":[],"custom":[]} CSL_BIBLIOGRAPHY </w:instrText>
      </w:r>
      <w:r w:rsidRPr="008F46C1">
        <w:rPr>
          <w:rFonts w:ascii="Times New Roman" w:hAnsi="Times New Roman" w:cs="Times New Roman"/>
        </w:rPr>
        <w:fldChar w:fldCharType="separate"/>
      </w:r>
      <w:r w:rsidR="00066DE5" w:rsidRPr="008F46C1">
        <w:rPr>
          <w:rFonts w:ascii="Times New Roman" w:hAnsi="Times New Roman" w:cs="Times New Roman"/>
        </w:rPr>
        <w:t>[1]</w:t>
      </w:r>
      <w:r w:rsidR="00066DE5" w:rsidRPr="008F46C1">
        <w:rPr>
          <w:rFonts w:ascii="Times New Roman" w:hAnsi="Times New Roman" w:cs="Times New Roman"/>
        </w:rPr>
        <w:tab/>
        <w:t>CDC WISQARS - web-based injury statistics query and reporting system. Centers for Disease Control and Prevention 2024. https://wisqars.cdc.gov/ (accessed June 2, 2026).</w:t>
      </w:r>
    </w:p>
    <w:p w14:paraId="16451A52" w14:textId="77777777" w:rsidR="00066DE5" w:rsidRPr="008F46C1" w:rsidRDefault="00066DE5" w:rsidP="00066DE5">
      <w:pPr>
        <w:pStyle w:val="Bibliography"/>
        <w:rPr>
          <w:rFonts w:ascii="Times New Roman" w:hAnsi="Times New Roman" w:cs="Times New Roman"/>
          <w:lang w:val="it-IT"/>
        </w:rPr>
      </w:pPr>
      <w:r w:rsidRPr="008F46C1">
        <w:rPr>
          <w:rFonts w:ascii="Times New Roman" w:hAnsi="Times New Roman" w:cs="Times New Roman"/>
        </w:rPr>
        <w:t>[2]</w:t>
      </w:r>
      <w:r w:rsidRPr="008F46C1">
        <w:rPr>
          <w:rFonts w:ascii="Times New Roman" w:hAnsi="Times New Roman" w:cs="Times New Roman"/>
        </w:rPr>
        <w:tab/>
        <w:t xml:space="preserve">Grinshteyn E, Hemenway D. Violent death rates in the US compared to those of the other high-income countries, 2015. </w:t>
      </w:r>
      <w:r w:rsidRPr="008F46C1">
        <w:rPr>
          <w:rFonts w:ascii="Times New Roman" w:hAnsi="Times New Roman" w:cs="Times New Roman"/>
          <w:lang w:val="it-IT"/>
        </w:rPr>
        <w:t>Preventive Medicine 2019;123:20–6. https://doi.org/10.1016/j.ypmed.2019.02.026.</w:t>
      </w:r>
    </w:p>
    <w:p w14:paraId="740F785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lang w:val="it-IT"/>
        </w:rPr>
        <w:t>[3]</w:t>
      </w:r>
      <w:r w:rsidRPr="008F46C1">
        <w:rPr>
          <w:rFonts w:ascii="Times New Roman" w:hAnsi="Times New Roman" w:cs="Times New Roman"/>
          <w:lang w:val="it-IT"/>
        </w:rPr>
        <w:tab/>
        <w:t xml:space="preserve">Peterson RD, Krivo LJ. </w:t>
      </w:r>
      <w:r w:rsidRPr="008F46C1">
        <w:rPr>
          <w:rFonts w:ascii="Times New Roman" w:hAnsi="Times New Roman" w:cs="Times New Roman"/>
        </w:rPr>
        <w:t>Divergent social worlds: neighborhood crime and the racial-spatial divide. 1st paperback edition. New York: Russell Sage Foundation; 2012.</w:t>
      </w:r>
    </w:p>
    <w:p w14:paraId="108825B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lastRenderedPageBreak/>
        <w:t>[4]</w:t>
      </w:r>
      <w:r w:rsidRPr="008F46C1">
        <w:rPr>
          <w:rFonts w:ascii="Times New Roman" w:hAnsi="Times New Roman" w:cs="Times New Roman"/>
        </w:rPr>
        <w:tab/>
        <w:t xml:space="preserve">Polcari AM, Hoefer LE, Callier KM, et al. </w:t>
      </w:r>
      <w:proofErr w:type="gramStart"/>
      <w:r w:rsidRPr="008F46C1">
        <w:rPr>
          <w:rFonts w:ascii="Times New Roman" w:hAnsi="Times New Roman" w:cs="Times New Roman"/>
        </w:rPr>
        <w:t>Social</w:t>
      </w:r>
      <w:proofErr w:type="gramEnd"/>
      <w:r w:rsidRPr="008F46C1">
        <w:rPr>
          <w:rFonts w:ascii="Times New Roman" w:hAnsi="Times New Roman" w:cs="Times New Roman"/>
        </w:rPr>
        <w:t xml:space="preserve"> vulnerability index is strongly associated with urban pediatric firearm violence: An analysis of five major US cities. J Trauma Acute Care Surg </w:t>
      </w:r>
      <w:proofErr w:type="gramStart"/>
      <w:r w:rsidRPr="008F46C1">
        <w:rPr>
          <w:rFonts w:ascii="Times New Roman" w:hAnsi="Times New Roman" w:cs="Times New Roman"/>
        </w:rPr>
        <w:t>2023;95:411</w:t>
      </w:r>
      <w:proofErr w:type="gramEnd"/>
      <w:r w:rsidRPr="008F46C1">
        <w:rPr>
          <w:rFonts w:ascii="Times New Roman" w:hAnsi="Times New Roman" w:cs="Times New Roman"/>
        </w:rPr>
        <w:t>–8. https://doi.org/10.1097/TA.0000000000003896.</w:t>
      </w:r>
    </w:p>
    <w:p w14:paraId="521C2A1C"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[5]</w:t>
      </w:r>
      <w:r w:rsidRPr="008F46C1">
        <w:rPr>
          <w:rFonts w:ascii="Times New Roman" w:hAnsi="Times New Roman" w:cs="Times New Roman"/>
        </w:rPr>
        <w:tab/>
        <w:t xml:space="preserve">Spitzer S, Castillo-Angeles M, Thomas A, et al. </w:t>
      </w:r>
      <w:proofErr w:type="gramStart"/>
      <w:r w:rsidRPr="008F46C1">
        <w:rPr>
          <w:rFonts w:ascii="Times New Roman" w:hAnsi="Times New Roman" w:cs="Times New Roman"/>
        </w:rPr>
        <w:t>Social</w:t>
      </w:r>
      <w:proofErr w:type="gramEnd"/>
      <w:r w:rsidRPr="008F46C1">
        <w:rPr>
          <w:rFonts w:ascii="Times New Roman" w:hAnsi="Times New Roman" w:cs="Times New Roman"/>
        </w:rPr>
        <w:t xml:space="preserve"> vulnerability index and firearms: How neighborhood health disparities affect trauma outcomes. Surg </w:t>
      </w:r>
      <w:proofErr w:type="spellStart"/>
      <w:r w:rsidRPr="008F46C1">
        <w:rPr>
          <w:rFonts w:ascii="Times New Roman" w:hAnsi="Times New Roman" w:cs="Times New Roman"/>
        </w:rPr>
        <w:t>Pract</w:t>
      </w:r>
      <w:proofErr w:type="spellEnd"/>
      <w:r w:rsidRPr="008F46C1">
        <w:rPr>
          <w:rFonts w:ascii="Times New Roman" w:hAnsi="Times New Roman" w:cs="Times New Roman"/>
        </w:rPr>
        <w:t xml:space="preserve"> Sci </w:t>
      </w:r>
      <w:proofErr w:type="gramStart"/>
      <w:r w:rsidRPr="008F46C1">
        <w:rPr>
          <w:rFonts w:ascii="Times New Roman" w:hAnsi="Times New Roman" w:cs="Times New Roman"/>
        </w:rPr>
        <w:t>2022;11:100130</w:t>
      </w:r>
      <w:proofErr w:type="gramEnd"/>
      <w:r w:rsidRPr="008F46C1">
        <w:rPr>
          <w:rFonts w:ascii="Times New Roman" w:hAnsi="Times New Roman" w:cs="Times New Roman"/>
        </w:rPr>
        <w:t>. https://doi.org/10.1016/j.sipas.2022.100130.</w:t>
      </w:r>
    </w:p>
    <w:p w14:paraId="1D885056"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[6]</w:t>
      </w:r>
      <w:r w:rsidRPr="008F46C1">
        <w:rPr>
          <w:rFonts w:ascii="Times New Roman" w:hAnsi="Times New Roman" w:cs="Times New Roman"/>
        </w:rPr>
        <w:tab/>
        <w:t xml:space="preserve">McMillan JA, Banerjee S, Gonzales-Lagos R, et al. </w:t>
      </w:r>
      <w:proofErr w:type="gramStart"/>
      <w:r w:rsidRPr="008F46C1">
        <w:rPr>
          <w:rFonts w:ascii="Times New Roman" w:hAnsi="Times New Roman" w:cs="Times New Roman"/>
        </w:rPr>
        <w:t>Social</w:t>
      </w:r>
      <w:proofErr w:type="gramEnd"/>
      <w:r w:rsidRPr="008F46C1">
        <w:rPr>
          <w:rFonts w:ascii="Times New Roman" w:hAnsi="Times New Roman" w:cs="Times New Roman"/>
        </w:rPr>
        <w:t xml:space="preserve"> factors related to gun violence in urban united states. Journal of Medicine, Surgery, and Public Health 2024;4:100155. https://doi.org/10.1016/j.glmedi.2024.100155.</w:t>
      </w:r>
    </w:p>
    <w:p w14:paraId="117EB6C1"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[7]</w:t>
      </w:r>
      <w:r w:rsidRPr="008F46C1">
        <w:rPr>
          <w:rFonts w:ascii="Times New Roman" w:hAnsi="Times New Roman" w:cs="Times New Roman"/>
        </w:rPr>
        <w:tab/>
        <w:t xml:space="preserve">Kwon EG, Rice-Townsend SE, </w:t>
      </w:r>
      <w:proofErr w:type="spellStart"/>
      <w:r w:rsidRPr="008F46C1">
        <w:rPr>
          <w:rFonts w:ascii="Times New Roman" w:hAnsi="Times New Roman" w:cs="Times New Roman"/>
        </w:rPr>
        <w:t>Agoubi</w:t>
      </w:r>
      <w:proofErr w:type="spellEnd"/>
      <w:r w:rsidRPr="008F46C1">
        <w:rPr>
          <w:rFonts w:ascii="Times New Roman" w:hAnsi="Times New Roman" w:cs="Times New Roman"/>
        </w:rPr>
        <w:t xml:space="preserve"> LL, et al. Association of community vulnerability and state gun laws with firearm deaths in children and adolescents aged 10 to 19 years. JAMA </w:t>
      </w:r>
      <w:proofErr w:type="spellStart"/>
      <w:r w:rsidRPr="008F46C1">
        <w:rPr>
          <w:rFonts w:ascii="Times New Roman" w:hAnsi="Times New Roman" w:cs="Times New Roman"/>
        </w:rPr>
        <w:t>Netw</w:t>
      </w:r>
      <w:proofErr w:type="spellEnd"/>
      <w:r w:rsidRPr="008F46C1">
        <w:rPr>
          <w:rFonts w:ascii="Times New Roman" w:hAnsi="Times New Roman" w:cs="Times New Roman"/>
        </w:rPr>
        <w:t xml:space="preserve"> Open 2023;</w:t>
      </w:r>
      <w:proofErr w:type="gramStart"/>
      <w:r w:rsidRPr="008F46C1">
        <w:rPr>
          <w:rFonts w:ascii="Times New Roman" w:hAnsi="Times New Roman" w:cs="Times New Roman"/>
        </w:rPr>
        <w:t>6:e</w:t>
      </w:r>
      <w:proofErr w:type="gramEnd"/>
      <w:r w:rsidRPr="008F46C1">
        <w:rPr>
          <w:rFonts w:ascii="Times New Roman" w:hAnsi="Times New Roman" w:cs="Times New Roman"/>
        </w:rPr>
        <w:t>2314863. https://doi.org/10.1001/jamanetworkopen.2023.14863.</w:t>
      </w:r>
    </w:p>
    <w:p w14:paraId="4535D6D7"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[8]</w:t>
      </w:r>
      <w:r w:rsidRPr="008F46C1">
        <w:rPr>
          <w:rFonts w:ascii="Times New Roman" w:hAnsi="Times New Roman" w:cs="Times New Roman"/>
        </w:rPr>
        <w:tab/>
        <w:t xml:space="preserve">Duncan AJ, Bloomsburg SJ, Ahmeti M. “Utility of social vulnerability index in trauma: A systematic review.” Injury </w:t>
      </w:r>
      <w:proofErr w:type="gramStart"/>
      <w:r w:rsidRPr="008F46C1">
        <w:rPr>
          <w:rFonts w:ascii="Times New Roman" w:hAnsi="Times New Roman" w:cs="Times New Roman"/>
        </w:rPr>
        <w:t>2024;55:112016</w:t>
      </w:r>
      <w:proofErr w:type="gramEnd"/>
      <w:r w:rsidRPr="008F46C1">
        <w:rPr>
          <w:rFonts w:ascii="Times New Roman" w:hAnsi="Times New Roman" w:cs="Times New Roman"/>
        </w:rPr>
        <w:t>. https://doi.org/10.1016/j.injury.2024.112016.</w:t>
      </w:r>
    </w:p>
    <w:p w14:paraId="3D7FCFF2"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[9]</w:t>
      </w:r>
      <w:r w:rsidRPr="008F46C1">
        <w:rPr>
          <w:rFonts w:ascii="Times New Roman" w:hAnsi="Times New Roman" w:cs="Times New Roman"/>
        </w:rPr>
        <w:tab/>
        <w:t xml:space="preserve">Tang Y, Taylor NL, Neuroth LM, et al. Using EMS data to explore community-level factors associated with firearm violence in north </w:t>
      </w:r>
      <w:proofErr w:type="spellStart"/>
      <w:r w:rsidRPr="008F46C1">
        <w:rPr>
          <w:rFonts w:ascii="Times New Roman" w:hAnsi="Times New Roman" w:cs="Times New Roman"/>
        </w:rPr>
        <w:t>carolina</w:t>
      </w:r>
      <w:proofErr w:type="spellEnd"/>
      <w:r w:rsidRPr="008F46C1">
        <w:rPr>
          <w:rFonts w:ascii="Times New Roman" w:hAnsi="Times New Roman" w:cs="Times New Roman"/>
        </w:rPr>
        <w:t xml:space="preserve">. </w:t>
      </w:r>
      <w:proofErr w:type="spellStart"/>
      <w:r w:rsidRPr="008F46C1">
        <w:rPr>
          <w:rFonts w:ascii="Times New Roman" w:hAnsi="Times New Roman" w:cs="Times New Roman"/>
        </w:rPr>
        <w:t>Inj</w:t>
      </w:r>
      <w:proofErr w:type="spellEnd"/>
      <w:r w:rsidRPr="008F46C1">
        <w:rPr>
          <w:rFonts w:ascii="Times New Roman" w:hAnsi="Times New Roman" w:cs="Times New Roman"/>
        </w:rPr>
        <w:t xml:space="preserve"> Epidemiol </w:t>
      </w:r>
      <w:proofErr w:type="gramStart"/>
      <w:r w:rsidRPr="008F46C1">
        <w:rPr>
          <w:rFonts w:ascii="Times New Roman" w:hAnsi="Times New Roman" w:cs="Times New Roman"/>
        </w:rPr>
        <w:t>2024;11:58</w:t>
      </w:r>
      <w:proofErr w:type="gramEnd"/>
      <w:r w:rsidRPr="008F46C1">
        <w:rPr>
          <w:rFonts w:ascii="Times New Roman" w:hAnsi="Times New Roman" w:cs="Times New Roman"/>
        </w:rPr>
        <w:t>. https://doi.org/10.1186/s40621-024-00539-9.</w:t>
      </w:r>
    </w:p>
    <w:p w14:paraId="6B594895"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[10]</w:t>
      </w:r>
      <w:r w:rsidRPr="008F46C1">
        <w:rPr>
          <w:rFonts w:ascii="Times New Roman" w:hAnsi="Times New Roman" w:cs="Times New Roman"/>
        </w:rPr>
        <w:tab/>
        <w:t>Kwon EG, Herrera-Escobar JP, Bulger EM, et al. Community-level social vulnerability and patterns of adolescent injury. Ann Surg Open 2023;</w:t>
      </w:r>
      <w:proofErr w:type="gramStart"/>
      <w:r w:rsidRPr="008F46C1">
        <w:rPr>
          <w:rFonts w:ascii="Times New Roman" w:hAnsi="Times New Roman" w:cs="Times New Roman"/>
        </w:rPr>
        <w:t>4:e</w:t>
      </w:r>
      <w:proofErr w:type="gramEnd"/>
      <w:r w:rsidRPr="008F46C1">
        <w:rPr>
          <w:rFonts w:ascii="Times New Roman" w:hAnsi="Times New Roman" w:cs="Times New Roman"/>
        </w:rPr>
        <w:t>287. https://doi.org/10.1097/AS9.0000000000000287.</w:t>
      </w:r>
    </w:p>
    <w:p w14:paraId="5B427BE1"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[11]</w:t>
      </w:r>
      <w:r w:rsidRPr="008F46C1">
        <w:rPr>
          <w:rFonts w:ascii="Times New Roman" w:hAnsi="Times New Roman" w:cs="Times New Roman"/>
        </w:rPr>
        <w:tab/>
        <w:t xml:space="preserve">Van Dyke ME. County-level social vulnerability and emergency department visits for firearm injuries — 10 U.S. jurisdictions, </w:t>
      </w:r>
      <w:proofErr w:type="spellStart"/>
      <w:r w:rsidRPr="008F46C1">
        <w:rPr>
          <w:rFonts w:ascii="Times New Roman" w:hAnsi="Times New Roman" w:cs="Times New Roman"/>
        </w:rPr>
        <w:t>january</w:t>
      </w:r>
      <w:proofErr w:type="spellEnd"/>
      <w:r w:rsidRPr="008F46C1">
        <w:rPr>
          <w:rFonts w:ascii="Times New Roman" w:hAnsi="Times New Roman" w:cs="Times New Roman"/>
        </w:rPr>
        <w:t xml:space="preserve"> 1, 2018–</w:t>
      </w:r>
      <w:proofErr w:type="spellStart"/>
      <w:r w:rsidRPr="008F46C1">
        <w:rPr>
          <w:rFonts w:ascii="Times New Roman" w:hAnsi="Times New Roman" w:cs="Times New Roman"/>
        </w:rPr>
        <w:t>december</w:t>
      </w:r>
      <w:proofErr w:type="spellEnd"/>
      <w:r w:rsidRPr="008F46C1">
        <w:rPr>
          <w:rFonts w:ascii="Times New Roman" w:hAnsi="Times New Roman" w:cs="Times New Roman"/>
        </w:rPr>
        <w:t xml:space="preserve"> 31, 2021. MMWR </w:t>
      </w:r>
      <w:proofErr w:type="spellStart"/>
      <w:r w:rsidRPr="008F46C1">
        <w:rPr>
          <w:rFonts w:ascii="Times New Roman" w:hAnsi="Times New Roman" w:cs="Times New Roman"/>
        </w:rPr>
        <w:t>Morb</w:t>
      </w:r>
      <w:proofErr w:type="spellEnd"/>
      <w:r w:rsidRPr="008F46C1">
        <w:rPr>
          <w:rFonts w:ascii="Times New Roman" w:hAnsi="Times New Roman" w:cs="Times New Roman"/>
        </w:rPr>
        <w:t xml:space="preserve"> Mortal </w:t>
      </w:r>
      <w:proofErr w:type="spellStart"/>
      <w:r w:rsidRPr="008F46C1">
        <w:rPr>
          <w:rFonts w:ascii="Times New Roman" w:hAnsi="Times New Roman" w:cs="Times New Roman"/>
        </w:rPr>
        <w:t>Wkly</w:t>
      </w:r>
      <w:proofErr w:type="spellEnd"/>
      <w:r w:rsidRPr="008F46C1">
        <w:rPr>
          <w:rFonts w:ascii="Times New Roman" w:hAnsi="Times New Roman" w:cs="Times New Roman"/>
        </w:rPr>
        <w:t xml:space="preserve"> Rep 2022;71. https://doi.org/10.15585/mmwr.mm7127a1.</w:t>
      </w:r>
    </w:p>
    <w:p w14:paraId="20975B67"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[12]</w:t>
      </w:r>
      <w:r w:rsidRPr="008F46C1">
        <w:rPr>
          <w:rFonts w:ascii="Times New Roman" w:hAnsi="Times New Roman" w:cs="Times New Roman"/>
        </w:rPr>
        <w:tab/>
        <w:t xml:space="preserve">Miller ZM, Cooper BP, Lew D, et al. Factors associated with recurrent pediatric firearm </w:t>
      </w:r>
      <w:proofErr w:type="gramStart"/>
      <w:r w:rsidRPr="008F46C1">
        <w:rPr>
          <w:rFonts w:ascii="Times New Roman" w:hAnsi="Times New Roman" w:cs="Times New Roman"/>
        </w:rPr>
        <w:t>injury :</w:t>
      </w:r>
      <w:proofErr w:type="gramEnd"/>
      <w:r w:rsidRPr="008F46C1">
        <w:rPr>
          <w:rFonts w:ascii="Times New Roman" w:hAnsi="Times New Roman" w:cs="Times New Roman"/>
        </w:rPr>
        <w:t xml:space="preserve"> a 10-year retrospective cohort analysis. Ann Intern Med </w:t>
      </w:r>
      <w:proofErr w:type="gramStart"/>
      <w:r w:rsidRPr="008F46C1">
        <w:rPr>
          <w:rFonts w:ascii="Times New Roman" w:hAnsi="Times New Roman" w:cs="Times New Roman"/>
        </w:rPr>
        <w:t>2024;177:1381</w:t>
      </w:r>
      <w:proofErr w:type="gramEnd"/>
      <w:r w:rsidRPr="008F46C1">
        <w:rPr>
          <w:rFonts w:ascii="Times New Roman" w:hAnsi="Times New Roman" w:cs="Times New Roman"/>
        </w:rPr>
        <w:t>–8. https://doi.org/10.7326/M24-0430.</w:t>
      </w:r>
    </w:p>
    <w:p w14:paraId="699A5123"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[13]</w:t>
      </w:r>
      <w:r w:rsidRPr="008F46C1">
        <w:rPr>
          <w:rFonts w:ascii="Times New Roman" w:hAnsi="Times New Roman" w:cs="Times New Roman"/>
        </w:rPr>
        <w:tab/>
        <w:t xml:space="preserve">Mueller KL, Kaser TM, Cooper BP, et al. Evaluation of a region-wide hospital-based violence intervention </w:t>
      </w:r>
      <w:proofErr w:type="gramStart"/>
      <w:r w:rsidRPr="008F46C1">
        <w:rPr>
          <w:rFonts w:ascii="Times New Roman" w:hAnsi="Times New Roman" w:cs="Times New Roman"/>
        </w:rPr>
        <w:t>program :</w:t>
      </w:r>
      <w:proofErr w:type="gramEnd"/>
      <w:r w:rsidRPr="008F46C1">
        <w:rPr>
          <w:rFonts w:ascii="Times New Roman" w:hAnsi="Times New Roman" w:cs="Times New Roman"/>
        </w:rPr>
        <w:t xml:space="preserve"> a pilot cohort study. Ann Intern Med </w:t>
      </w:r>
      <w:proofErr w:type="gramStart"/>
      <w:r w:rsidRPr="008F46C1">
        <w:rPr>
          <w:rFonts w:ascii="Times New Roman" w:hAnsi="Times New Roman" w:cs="Times New Roman"/>
        </w:rPr>
        <w:t>2025;178:1116</w:t>
      </w:r>
      <w:proofErr w:type="gramEnd"/>
      <w:r w:rsidRPr="008F46C1">
        <w:rPr>
          <w:rFonts w:ascii="Times New Roman" w:hAnsi="Times New Roman" w:cs="Times New Roman"/>
        </w:rPr>
        <w:t>–26. https://doi.org/10.7326/ANNALS-24-01576.</w:t>
      </w:r>
    </w:p>
    <w:p w14:paraId="602799EF" w14:textId="77777777" w:rsidR="00066DE5" w:rsidRPr="008F46C1" w:rsidRDefault="00066DE5" w:rsidP="00066DE5">
      <w:pPr>
        <w:pStyle w:val="Bibliography"/>
        <w:rPr>
          <w:rFonts w:ascii="Times New Roman" w:hAnsi="Times New Roman" w:cs="Times New Roman"/>
          <w:lang w:val="it-IT"/>
        </w:rPr>
      </w:pPr>
      <w:r w:rsidRPr="008F46C1">
        <w:rPr>
          <w:rFonts w:ascii="Times New Roman" w:hAnsi="Times New Roman" w:cs="Times New Roman"/>
        </w:rPr>
        <w:t>[14]</w:t>
      </w:r>
      <w:r w:rsidRPr="008F46C1">
        <w:rPr>
          <w:rFonts w:ascii="Times New Roman" w:hAnsi="Times New Roman" w:cs="Times New Roman"/>
        </w:rPr>
        <w:tab/>
      </w:r>
      <w:proofErr w:type="spellStart"/>
      <w:r w:rsidRPr="008F46C1">
        <w:rPr>
          <w:rFonts w:ascii="Times New Roman" w:hAnsi="Times New Roman" w:cs="Times New Roman"/>
        </w:rPr>
        <w:t>Quetelet</w:t>
      </w:r>
      <w:proofErr w:type="spellEnd"/>
      <w:r w:rsidRPr="008F46C1">
        <w:rPr>
          <w:rFonts w:ascii="Times New Roman" w:hAnsi="Times New Roman" w:cs="Times New Roman"/>
        </w:rPr>
        <w:t xml:space="preserve"> A. </w:t>
      </w:r>
      <w:proofErr w:type="spellStart"/>
      <w:r w:rsidRPr="008F46C1">
        <w:rPr>
          <w:rFonts w:ascii="Times New Roman" w:hAnsi="Times New Roman" w:cs="Times New Roman"/>
        </w:rPr>
        <w:t>Recherches</w:t>
      </w:r>
      <w:proofErr w:type="spellEnd"/>
      <w:r w:rsidRPr="008F46C1">
        <w:rPr>
          <w:rFonts w:ascii="Times New Roman" w:hAnsi="Times New Roman" w:cs="Times New Roman"/>
        </w:rPr>
        <w:t xml:space="preserve"> sur le penchant au crime aux </w:t>
      </w:r>
      <w:proofErr w:type="spellStart"/>
      <w:r w:rsidRPr="008F46C1">
        <w:rPr>
          <w:rFonts w:ascii="Times New Roman" w:hAnsi="Times New Roman" w:cs="Times New Roman"/>
        </w:rPr>
        <w:t>différens</w:t>
      </w:r>
      <w:proofErr w:type="spellEnd"/>
      <w:r w:rsidRPr="008F46C1">
        <w:rPr>
          <w:rFonts w:ascii="Times New Roman" w:hAnsi="Times New Roman" w:cs="Times New Roman"/>
        </w:rPr>
        <w:t xml:space="preserve"> </w:t>
      </w:r>
      <w:proofErr w:type="spellStart"/>
      <w:r w:rsidRPr="008F46C1">
        <w:rPr>
          <w:rFonts w:ascii="Times New Roman" w:hAnsi="Times New Roman" w:cs="Times New Roman"/>
        </w:rPr>
        <w:t>âges</w:t>
      </w:r>
      <w:proofErr w:type="spellEnd"/>
      <w:r w:rsidRPr="008F46C1">
        <w:rPr>
          <w:rFonts w:ascii="Times New Roman" w:hAnsi="Times New Roman" w:cs="Times New Roman"/>
        </w:rPr>
        <w:t xml:space="preserve">. </w:t>
      </w:r>
      <w:r w:rsidRPr="008F46C1">
        <w:rPr>
          <w:rFonts w:ascii="Times New Roman" w:hAnsi="Times New Roman" w:cs="Times New Roman"/>
          <w:lang w:val="it-IT"/>
        </w:rPr>
        <w:t>Hayez; 1831.</w:t>
      </w:r>
    </w:p>
    <w:p w14:paraId="6A49471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lang w:val="it-IT"/>
        </w:rPr>
        <w:t>[15]</w:t>
      </w:r>
      <w:r w:rsidRPr="008F46C1">
        <w:rPr>
          <w:rFonts w:ascii="Times New Roman" w:hAnsi="Times New Roman" w:cs="Times New Roman"/>
          <w:lang w:val="it-IT"/>
        </w:rPr>
        <w:tab/>
        <w:t xml:space="preserve">Guerry A-M. Essai sur la statistique morale de la france. </w:t>
      </w:r>
      <w:proofErr w:type="spellStart"/>
      <w:r w:rsidRPr="008F46C1">
        <w:rPr>
          <w:rFonts w:ascii="Times New Roman" w:hAnsi="Times New Roman" w:cs="Times New Roman"/>
        </w:rPr>
        <w:t>Crochard</w:t>
      </w:r>
      <w:proofErr w:type="spellEnd"/>
      <w:r w:rsidRPr="008F46C1">
        <w:rPr>
          <w:rFonts w:ascii="Times New Roman" w:hAnsi="Times New Roman" w:cs="Times New Roman"/>
        </w:rPr>
        <w:t>, Paris; 1833.</w:t>
      </w:r>
    </w:p>
    <w:p w14:paraId="1838C1A1"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[16]</w:t>
      </w:r>
      <w:r w:rsidRPr="008F46C1">
        <w:rPr>
          <w:rFonts w:ascii="Times New Roman" w:hAnsi="Times New Roman" w:cs="Times New Roman"/>
        </w:rPr>
        <w:tab/>
        <w:t xml:space="preserve">Shaw CR, McKay HD. Juvenile delinquency and urban areas: a study of rates of delinquents in relation to differential characteristics of local communities in </w:t>
      </w:r>
      <w:proofErr w:type="spellStart"/>
      <w:r w:rsidRPr="008F46C1">
        <w:rPr>
          <w:rFonts w:ascii="Times New Roman" w:hAnsi="Times New Roman" w:cs="Times New Roman"/>
        </w:rPr>
        <w:t>american</w:t>
      </w:r>
      <w:proofErr w:type="spellEnd"/>
      <w:r w:rsidRPr="008F46C1">
        <w:rPr>
          <w:rFonts w:ascii="Times New Roman" w:hAnsi="Times New Roman" w:cs="Times New Roman"/>
        </w:rPr>
        <w:t xml:space="preserve"> cities. University of Chicago Press; 1942.</w:t>
      </w:r>
    </w:p>
    <w:p w14:paraId="5468FE86"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[17]</w:t>
      </w:r>
      <w:r w:rsidRPr="008F46C1">
        <w:rPr>
          <w:rFonts w:ascii="Times New Roman" w:hAnsi="Times New Roman" w:cs="Times New Roman"/>
        </w:rPr>
        <w:tab/>
        <w:t>Bursik RJ, Grasmick HG. Neighborhoods and crime: the dimensions of effective community control. New York: Lexington books; 1993.</w:t>
      </w:r>
    </w:p>
    <w:p w14:paraId="5AF94DFE"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[18]</w:t>
      </w:r>
      <w:r w:rsidRPr="008F46C1">
        <w:rPr>
          <w:rFonts w:ascii="Times New Roman" w:hAnsi="Times New Roman" w:cs="Times New Roman"/>
        </w:rPr>
        <w:tab/>
        <w:t xml:space="preserve">Sampson RJ. Great </w:t>
      </w:r>
      <w:proofErr w:type="spellStart"/>
      <w:r w:rsidRPr="008F46C1">
        <w:rPr>
          <w:rFonts w:ascii="Times New Roman" w:hAnsi="Times New Roman" w:cs="Times New Roman"/>
        </w:rPr>
        <w:t>american</w:t>
      </w:r>
      <w:proofErr w:type="spellEnd"/>
      <w:r w:rsidRPr="008F46C1">
        <w:rPr>
          <w:rFonts w:ascii="Times New Roman" w:hAnsi="Times New Roman" w:cs="Times New Roman"/>
        </w:rPr>
        <w:t xml:space="preserve"> city: Chicago and the enduring neighborhood effect. Chicago, IL: University of Chicago Press; 2013.</w:t>
      </w:r>
    </w:p>
    <w:p w14:paraId="2931F805"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[19]</w:t>
      </w:r>
      <w:r w:rsidRPr="008F46C1">
        <w:rPr>
          <w:rFonts w:ascii="Times New Roman" w:hAnsi="Times New Roman" w:cs="Times New Roman"/>
        </w:rPr>
        <w:tab/>
        <w:t xml:space="preserve">Flanagan BE, Gregory EW, Hallisey EJ, et al. A social vulnerability index for disaster management. Journal of Homeland Security and Emergency Management </w:t>
      </w:r>
      <w:proofErr w:type="gramStart"/>
      <w:r w:rsidRPr="008F46C1">
        <w:rPr>
          <w:rFonts w:ascii="Times New Roman" w:hAnsi="Times New Roman" w:cs="Times New Roman"/>
        </w:rPr>
        <w:t>2011;8:0000102202154773551792</w:t>
      </w:r>
      <w:proofErr w:type="gramEnd"/>
      <w:r w:rsidRPr="008F46C1">
        <w:rPr>
          <w:rFonts w:ascii="Times New Roman" w:hAnsi="Times New Roman" w:cs="Times New Roman"/>
        </w:rPr>
        <w:t>. https://doi.org/10.2202/1547-7355.1792.</w:t>
      </w:r>
    </w:p>
    <w:p w14:paraId="7D049D1F"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[20]</w:t>
      </w:r>
      <w:r w:rsidRPr="008F46C1">
        <w:rPr>
          <w:rFonts w:ascii="Times New Roman" w:hAnsi="Times New Roman" w:cs="Times New Roman"/>
        </w:rPr>
        <w:tab/>
        <w:t xml:space="preserve">Higginbotham JK, Segovia LM, Rohm KL, et al. </w:t>
      </w:r>
      <w:proofErr w:type="gramStart"/>
      <w:r w:rsidRPr="008F46C1">
        <w:rPr>
          <w:rFonts w:ascii="Times New Roman" w:hAnsi="Times New Roman" w:cs="Times New Roman"/>
        </w:rPr>
        <w:t>Social</w:t>
      </w:r>
      <w:proofErr w:type="gramEnd"/>
      <w:r w:rsidRPr="008F46C1">
        <w:rPr>
          <w:rFonts w:ascii="Times New Roman" w:hAnsi="Times New Roman" w:cs="Times New Roman"/>
        </w:rPr>
        <w:t xml:space="preserve"> vulnerability index and health outcomes in the </w:t>
      </w:r>
      <w:proofErr w:type="gramStart"/>
      <w:r w:rsidRPr="008F46C1">
        <w:rPr>
          <w:rFonts w:ascii="Times New Roman" w:hAnsi="Times New Roman" w:cs="Times New Roman"/>
        </w:rPr>
        <w:t>united states</w:t>
      </w:r>
      <w:proofErr w:type="gramEnd"/>
      <w:r w:rsidRPr="008F46C1">
        <w:rPr>
          <w:rFonts w:ascii="Times New Roman" w:hAnsi="Times New Roman" w:cs="Times New Roman"/>
        </w:rPr>
        <w:t xml:space="preserve">: a systematic review. Fam Community Health </w:t>
      </w:r>
      <w:proofErr w:type="gramStart"/>
      <w:r w:rsidRPr="008F46C1">
        <w:rPr>
          <w:rFonts w:ascii="Times New Roman" w:hAnsi="Times New Roman" w:cs="Times New Roman"/>
        </w:rPr>
        <w:t>2025;48:81</w:t>
      </w:r>
      <w:proofErr w:type="gramEnd"/>
      <w:r w:rsidRPr="008F46C1">
        <w:rPr>
          <w:rFonts w:ascii="Times New Roman" w:hAnsi="Times New Roman" w:cs="Times New Roman"/>
        </w:rPr>
        <w:t>–96. https://doi.org/10.1097/FCH.0000000000000421.</w:t>
      </w:r>
    </w:p>
    <w:p w14:paraId="350CAF2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lastRenderedPageBreak/>
        <w:t>[21]</w:t>
      </w:r>
      <w:r w:rsidRPr="008F46C1">
        <w:rPr>
          <w:rFonts w:ascii="Times New Roman" w:hAnsi="Times New Roman" w:cs="Times New Roman"/>
        </w:rPr>
        <w:tab/>
        <w:t>Gill L, Novak KJ, Patterson S. Social vulnerability and firearm violence: An examination of the correlates of fatal and nonfatal shootings. Homicide Studies 2024:10887679241252438. https://doi.org/10.1177/10887679241252438.</w:t>
      </w:r>
    </w:p>
    <w:p w14:paraId="42A7BBBD"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[22]</w:t>
      </w:r>
      <w:r w:rsidRPr="008F46C1">
        <w:rPr>
          <w:rFonts w:ascii="Times New Roman" w:hAnsi="Times New Roman" w:cs="Times New Roman"/>
        </w:rPr>
        <w:tab/>
        <w:t xml:space="preserve">Dirago C, Poulson M, </w:t>
      </w:r>
      <w:proofErr w:type="spellStart"/>
      <w:r w:rsidRPr="008F46C1">
        <w:rPr>
          <w:rFonts w:ascii="Times New Roman" w:hAnsi="Times New Roman" w:cs="Times New Roman"/>
        </w:rPr>
        <w:t>Hatchimonji</w:t>
      </w:r>
      <w:proofErr w:type="spellEnd"/>
      <w:r w:rsidRPr="008F46C1">
        <w:rPr>
          <w:rFonts w:ascii="Times New Roman" w:hAnsi="Times New Roman" w:cs="Times New Roman"/>
        </w:rPr>
        <w:t xml:space="preserve"> J, et al. Geospatial analysis of social vulnerability, race, and firearm violence in </w:t>
      </w:r>
      <w:proofErr w:type="spellStart"/>
      <w:r w:rsidRPr="008F46C1">
        <w:rPr>
          <w:rFonts w:ascii="Times New Roman" w:hAnsi="Times New Roman" w:cs="Times New Roman"/>
        </w:rPr>
        <w:t>chicago</w:t>
      </w:r>
      <w:proofErr w:type="spellEnd"/>
      <w:r w:rsidRPr="008F46C1">
        <w:rPr>
          <w:rFonts w:ascii="Times New Roman" w:hAnsi="Times New Roman" w:cs="Times New Roman"/>
        </w:rPr>
        <w:t xml:space="preserve">. J Surg Res </w:t>
      </w:r>
      <w:proofErr w:type="gramStart"/>
      <w:r w:rsidRPr="008F46C1">
        <w:rPr>
          <w:rFonts w:ascii="Times New Roman" w:hAnsi="Times New Roman" w:cs="Times New Roman"/>
        </w:rPr>
        <w:t>2024;294:66</w:t>
      </w:r>
      <w:proofErr w:type="gramEnd"/>
      <w:r w:rsidRPr="008F46C1">
        <w:rPr>
          <w:rFonts w:ascii="Times New Roman" w:hAnsi="Times New Roman" w:cs="Times New Roman"/>
        </w:rPr>
        <w:t>–72. https://doi.org/10.1016/j.jss.2023.08.058.</w:t>
      </w:r>
    </w:p>
    <w:p w14:paraId="37DA1C53"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[23]</w:t>
      </w:r>
      <w:r w:rsidRPr="008F46C1">
        <w:rPr>
          <w:rFonts w:ascii="Times New Roman" w:hAnsi="Times New Roman" w:cs="Times New Roman"/>
        </w:rPr>
        <w:tab/>
        <w:t xml:space="preserve">Kottke TE, Pronk NP, Woodard C, et al. The potential influence of firearm violence on physical inactivity in the </w:t>
      </w:r>
      <w:proofErr w:type="gramStart"/>
      <w:r w:rsidRPr="008F46C1">
        <w:rPr>
          <w:rFonts w:ascii="Times New Roman" w:hAnsi="Times New Roman" w:cs="Times New Roman"/>
        </w:rPr>
        <w:t>united states</w:t>
      </w:r>
      <w:proofErr w:type="gramEnd"/>
      <w:r w:rsidRPr="008F46C1">
        <w:rPr>
          <w:rFonts w:ascii="Times New Roman" w:hAnsi="Times New Roman" w:cs="Times New Roman"/>
        </w:rPr>
        <w:t xml:space="preserve">. Am J Med </w:t>
      </w:r>
      <w:proofErr w:type="gramStart"/>
      <w:r w:rsidRPr="008F46C1">
        <w:rPr>
          <w:rFonts w:ascii="Times New Roman" w:hAnsi="Times New Roman" w:cs="Times New Roman"/>
        </w:rPr>
        <w:t>2024;137:426</w:t>
      </w:r>
      <w:proofErr w:type="gramEnd"/>
      <w:r w:rsidRPr="008F46C1">
        <w:rPr>
          <w:rFonts w:ascii="Times New Roman" w:hAnsi="Times New Roman" w:cs="Times New Roman"/>
        </w:rPr>
        <w:t>–32. https://doi.org/10.1016/j.amjmed.2024.01.030.</w:t>
      </w:r>
    </w:p>
    <w:p w14:paraId="457D6DC0"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[24]</w:t>
      </w:r>
      <w:r w:rsidRPr="008F46C1">
        <w:rPr>
          <w:rFonts w:ascii="Times New Roman" w:hAnsi="Times New Roman" w:cs="Times New Roman"/>
        </w:rPr>
        <w:tab/>
      </w:r>
      <w:proofErr w:type="spellStart"/>
      <w:r w:rsidRPr="008F46C1">
        <w:rPr>
          <w:rFonts w:ascii="Times New Roman" w:hAnsi="Times New Roman" w:cs="Times New Roman"/>
        </w:rPr>
        <w:t>Phelos</w:t>
      </w:r>
      <w:proofErr w:type="spellEnd"/>
      <w:r w:rsidRPr="008F46C1">
        <w:rPr>
          <w:rFonts w:ascii="Times New Roman" w:hAnsi="Times New Roman" w:cs="Times New Roman"/>
        </w:rPr>
        <w:t xml:space="preserve"> HM, Deeb A-P, Brown JB. Can social vulnerability indices predict county trauma fatality rates? J Trauma Acute Care Surg </w:t>
      </w:r>
      <w:proofErr w:type="gramStart"/>
      <w:r w:rsidRPr="008F46C1">
        <w:rPr>
          <w:rFonts w:ascii="Times New Roman" w:hAnsi="Times New Roman" w:cs="Times New Roman"/>
        </w:rPr>
        <w:t>2021;91:399</w:t>
      </w:r>
      <w:proofErr w:type="gramEnd"/>
      <w:r w:rsidRPr="008F46C1">
        <w:rPr>
          <w:rFonts w:ascii="Times New Roman" w:hAnsi="Times New Roman" w:cs="Times New Roman"/>
        </w:rPr>
        <w:t>–405. https://doi.org/10.1097/TA.0000000000003228.</w:t>
      </w:r>
    </w:p>
    <w:p w14:paraId="77E8312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[25]</w:t>
      </w:r>
      <w:r w:rsidRPr="008F46C1">
        <w:rPr>
          <w:rFonts w:ascii="Times New Roman" w:hAnsi="Times New Roman" w:cs="Times New Roman"/>
        </w:rPr>
        <w:tab/>
      </w:r>
      <w:proofErr w:type="spellStart"/>
      <w:r w:rsidRPr="008F46C1">
        <w:rPr>
          <w:rFonts w:ascii="Times New Roman" w:hAnsi="Times New Roman" w:cs="Times New Roman"/>
        </w:rPr>
        <w:t>Wulz</w:t>
      </w:r>
      <w:proofErr w:type="spellEnd"/>
      <w:r w:rsidRPr="008F46C1">
        <w:rPr>
          <w:rFonts w:ascii="Times New Roman" w:hAnsi="Times New Roman" w:cs="Times New Roman"/>
        </w:rPr>
        <w:t xml:space="preserve"> AR, Miller GF, Hicks L, et al. Association between social vulnerability factors and homicide and suicide rates - united states, 2016 - 2020. J Safety Res </w:t>
      </w:r>
      <w:proofErr w:type="gramStart"/>
      <w:r w:rsidRPr="008F46C1">
        <w:rPr>
          <w:rFonts w:ascii="Times New Roman" w:hAnsi="Times New Roman" w:cs="Times New Roman"/>
        </w:rPr>
        <w:t>2024;90:1</w:t>
      </w:r>
      <w:proofErr w:type="gramEnd"/>
      <w:r w:rsidRPr="008F46C1">
        <w:rPr>
          <w:rFonts w:ascii="Times New Roman" w:hAnsi="Times New Roman" w:cs="Times New Roman"/>
        </w:rPr>
        <w:t>–8. https://doi.org/10.1016/j.jsr.2024.05.012.</w:t>
      </w:r>
    </w:p>
    <w:p w14:paraId="21B33755"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[26]</w:t>
      </w:r>
      <w:r w:rsidRPr="008F46C1">
        <w:rPr>
          <w:rFonts w:ascii="Times New Roman" w:hAnsi="Times New Roman" w:cs="Times New Roman"/>
        </w:rPr>
        <w:tab/>
        <w:t xml:space="preserve">Tomas CW, Timmer-Murillo S, Kallies KJ, et al. Examining the role of social vulnerability, neighborhood characteristics, and geospatial patterns of firearm-related injuries and clinical outcomes in </w:t>
      </w:r>
      <w:proofErr w:type="gramStart"/>
      <w:r w:rsidRPr="008F46C1">
        <w:rPr>
          <w:rFonts w:ascii="Times New Roman" w:hAnsi="Times New Roman" w:cs="Times New Roman"/>
        </w:rPr>
        <w:t>Milwaukee county</w:t>
      </w:r>
      <w:proofErr w:type="gramEnd"/>
      <w:r w:rsidRPr="008F46C1">
        <w:rPr>
          <w:rFonts w:ascii="Times New Roman" w:hAnsi="Times New Roman" w:cs="Times New Roman"/>
        </w:rPr>
        <w:t xml:space="preserve">. Social Science &amp; Medicine </w:t>
      </w:r>
      <w:proofErr w:type="gramStart"/>
      <w:r w:rsidRPr="008F46C1">
        <w:rPr>
          <w:rFonts w:ascii="Times New Roman" w:hAnsi="Times New Roman" w:cs="Times New Roman"/>
        </w:rPr>
        <w:t>2024;352:117035</w:t>
      </w:r>
      <w:proofErr w:type="gramEnd"/>
      <w:r w:rsidRPr="008F46C1">
        <w:rPr>
          <w:rFonts w:ascii="Times New Roman" w:hAnsi="Times New Roman" w:cs="Times New Roman"/>
        </w:rPr>
        <w:t>. https://doi.org/10.1016/j.socscimed.2024.117035.</w:t>
      </w:r>
    </w:p>
    <w:p w14:paraId="735E835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[27]</w:t>
      </w:r>
      <w:r w:rsidRPr="008F46C1">
        <w:rPr>
          <w:rFonts w:ascii="Times New Roman" w:hAnsi="Times New Roman" w:cs="Times New Roman"/>
        </w:rPr>
        <w:tab/>
        <w:t>Sadecki EJ, Cronholm PF. RE: Using vulnerability indices to improve our measurement of structural racism in health services research 2026.</w:t>
      </w:r>
    </w:p>
    <w:p w14:paraId="0BE12A5A"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[28]</w:t>
      </w:r>
      <w:r w:rsidRPr="008F46C1">
        <w:rPr>
          <w:rFonts w:ascii="Times New Roman" w:hAnsi="Times New Roman" w:cs="Times New Roman"/>
        </w:rPr>
        <w:tab/>
        <w:t>Wilson WJ. The truly disadvantaged: The inner city, the underclass, and public policy. University of Chicago Press; 2012.</w:t>
      </w:r>
    </w:p>
    <w:p w14:paraId="5822637C"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[29]</w:t>
      </w:r>
      <w:r w:rsidRPr="008F46C1">
        <w:rPr>
          <w:rFonts w:ascii="Times New Roman" w:hAnsi="Times New Roman" w:cs="Times New Roman"/>
        </w:rPr>
        <w:tab/>
        <w:t>Sharkey P. Uneasy peace: the great crime decline, the renewal of city life, and the next war on violence. Paperback edition. New York: W.W. Norton &amp; Company; 2019.</w:t>
      </w:r>
    </w:p>
    <w:p w14:paraId="3A4F6D01"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[30]</w:t>
      </w:r>
      <w:r w:rsidRPr="008F46C1">
        <w:rPr>
          <w:rFonts w:ascii="Times New Roman" w:hAnsi="Times New Roman" w:cs="Times New Roman"/>
        </w:rPr>
        <w:tab/>
        <w:t xml:space="preserve">Sharkey P, Ittner T. Turning toward the community: Theory and evidence for the role of community-oriented organizations in the effort to confront violence. Annual Review of Criminology </w:t>
      </w:r>
      <w:proofErr w:type="gramStart"/>
      <w:r w:rsidRPr="008F46C1">
        <w:rPr>
          <w:rFonts w:ascii="Times New Roman" w:hAnsi="Times New Roman" w:cs="Times New Roman"/>
        </w:rPr>
        <w:t>2026;9:81</w:t>
      </w:r>
      <w:proofErr w:type="gramEnd"/>
      <w:r w:rsidRPr="008F46C1">
        <w:rPr>
          <w:rFonts w:ascii="Times New Roman" w:hAnsi="Times New Roman" w:cs="Times New Roman"/>
        </w:rPr>
        <w:t>–100. https://doi.org/10.1146/annurev-criminol-111523-122521.</w:t>
      </w:r>
    </w:p>
    <w:p w14:paraId="14159AD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[31]</w:t>
      </w:r>
      <w:r w:rsidRPr="008F46C1">
        <w:rPr>
          <w:rFonts w:ascii="Times New Roman" w:hAnsi="Times New Roman" w:cs="Times New Roman"/>
        </w:rPr>
        <w:tab/>
        <w:t xml:space="preserve">Sampson RJ, Raudenbush SW, Earls F. Neighborhoods and violent crime: a multilevel study of collective efficacy. Science </w:t>
      </w:r>
      <w:proofErr w:type="gramStart"/>
      <w:r w:rsidRPr="008F46C1">
        <w:rPr>
          <w:rFonts w:ascii="Times New Roman" w:hAnsi="Times New Roman" w:cs="Times New Roman"/>
        </w:rPr>
        <w:t>1997;277:918</w:t>
      </w:r>
      <w:proofErr w:type="gramEnd"/>
      <w:r w:rsidRPr="008F46C1">
        <w:rPr>
          <w:rFonts w:ascii="Times New Roman" w:hAnsi="Times New Roman" w:cs="Times New Roman"/>
        </w:rPr>
        <w:t>–24. https://doi.org/10.1126/science.277.5328.918.</w:t>
      </w:r>
    </w:p>
    <w:p w14:paraId="1BE26EB8"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[32]</w:t>
      </w:r>
      <w:r w:rsidRPr="008F46C1">
        <w:rPr>
          <w:rFonts w:ascii="Times New Roman" w:hAnsi="Times New Roman" w:cs="Times New Roman"/>
        </w:rPr>
        <w:tab/>
        <w:t xml:space="preserve">Burraston B, Watts SJ, McCutcheon JC, et al. Relative deprivation, absolute deprivation, and homicide: Testing an interaction between income inequality and disadvantage. Homicide Studies </w:t>
      </w:r>
      <w:proofErr w:type="gramStart"/>
      <w:r w:rsidRPr="008F46C1">
        <w:rPr>
          <w:rFonts w:ascii="Times New Roman" w:hAnsi="Times New Roman" w:cs="Times New Roman"/>
        </w:rPr>
        <w:t>2019;23:3</w:t>
      </w:r>
      <w:proofErr w:type="gramEnd"/>
      <w:r w:rsidRPr="008F46C1">
        <w:rPr>
          <w:rFonts w:ascii="Times New Roman" w:hAnsi="Times New Roman" w:cs="Times New Roman"/>
        </w:rPr>
        <w:t>–19. https://doi.org/10.1177/1088767918782938.</w:t>
      </w:r>
    </w:p>
    <w:p w14:paraId="58BE544C"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[33]</w:t>
      </w:r>
      <w:r w:rsidRPr="008F46C1">
        <w:rPr>
          <w:rFonts w:ascii="Times New Roman" w:hAnsi="Times New Roman" w:cs="Times New Roman"/>
        </w:rPr>
        <w:tab/>
      </w:r>
      <w:proofErr w:type="spellStart"/>
      <w:r w:rsidRPr="008F46C1">
        <w:rPr>
          <w:rFonts w:ascii="Times New Roman" w:hAnsi="Times New Roman" w:cs="Times New Roman"/>
        </w:rPr>
        <w:t>LaFree</w:t>
      </w:r>
      <w:proofErr w:type="spellEnd"/>
      <w:r w:rsidRPr="008F46C1">
        <w:rPr>
          <w:rFonts w:ascii="Times New Roman" w:hAnsi="Times New Roman" w:cs="Times New Roman"/>
        </w:rPr>
        <w:t xml:space="preserve"> G. Evidence for elite convergence in cross-national homicide victimization trends, 1956 to 2000. The Sociological Quarterly </w:t>
      </w:r>
      <w:proofErr w:type="gramStart"/>
      <w:r w:rsidRPr="008F46C1">
        <w:rPr>
          <w:rFonts w:ascii="Times New Roman" w:hAnsi="Times New Roman" w:cs="Times New Roman"/>
        </w:rPr>
        <w:t>2005;46:191</w:t>
      </w:r>
      <w:proofErr w:type="gramEnd"/>
      <w:r w:rsidRPr="008F46C1">
        <w:rPr>
          <w:rFonts w:ascii="Times New Roman" w:hAnsi="Times New Roman" w:cs="Times New Roman"/>
        </w:rPr>
        <w:t>–211. https://doi.org/10.1111/j.1533-8525.2005.00009.x.</w:t>
      </w:r>
    </w:p>
    <w:p w14:paraId="18B4BE1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[34]</w:t>
      </w:r>
      <w:r w:rsidRPr="008F46C1">
        <w:rPr>
          <w:rFonts w:ascii="Times New Roman" w:hAnsi="Times New Roman" w:cs="Times New Roman"/>
        </w:rPr>
        <w:tab/>
        <w:t xml:space="preserve">Messner SF, Rosenfeld R. Political restraint of the market and levels of criminal homicide: a cross-national application of institutional-anomie theory. Social Forces </w:t>
      </w:r>
      <w:proofErr w:type="gramStart"/>
      <w:r w:rsidRPr="008F46C1">
        <w:rPr>
          <w:rFonts w:ascii="Times New Roman" w:hAnsi="Times New Roman" w:cs="Times New Roman"/>
        </w:rPr>
        <w:t>1997;75:1393</w:t>
      </w:r>
      <w:proofErr w:type="gramEnd"/>
      <w:r w:rsidRPr="008F46C1">
        <w:rPr>
          <w:rFonts w:ascii="Times New Roman" w:hAnsi="Times New Roman" w:cs="Times New Roman"/>
        </w:rPr>
        <w:t>–416. https://doi.org/10.1093/sf/75.4.1393.</w:t>
      </w:r>
    </w:p>
    <w:p w14:paraId="68ECD044"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[35]</w:t>
      </w:r>
      <w:r w:rsidRPr="008F46C1">
        <w:rPr>
          <w:rFonts w:ascii="Times New Roman" w:hAnsi="Times New Roman" w:cs="Times New Roman"/>
        </w:rPr>
        <w:tab/>
        <w:t xml:space="preserve">Rosenfeld R, Vogel M. Homicide, acquisitive crime, and inflation: a city-level longitudinal analysis. Crime &amp; Delinquency </w:t>
      </w:r>
      <w:proofErr w:type="gramStart"/>
      <w:r w:rsidRPr="008F46C1">
        <w:rPr>
          <w:rFonts w:ascii="Times New Roman" w:hAnsi="Times New Roman" w:cs="Times New Roman"/>
        </w:rPr>
        <w:t>2023;69:3</w:t>
      </w:r>
      <w:proofErr w:type="gramEnd"/>
      <w:r w:rsidRPr="008F46C1">
        <w:rPr>
          <w:rFonts w:ascii="Times New Roman" w:hAnsi="Times New Roman" w:cs="Times New Roman"/>
        </w:rPr>
        <w:t>–33. https://doi.org/10.1177/00111287211039994.</w:t>
      </w:r>
    </w:p>
    <w:p w14:paraId="5FFEBA16"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[36]</w:t>
      </w:r>
      <w:r w:rsidRPr="008F46C1">
        <w:rPr>
          <w:rFonts w:ascii="Times New Roman" w:hAnsi="Times New Roman" w:cs="Times New Roman"/>
        </w:rPr>
        <w:tab/>
      </w:r>
      <w:proofErr w:type="spellStart"/>
      <w:r w:rsidRPr="008F46C1">
        <w:rPr>
          <w:rFonts w:ascii="Times New Roman" w:hAnsi="Times New Roman" w:cs="Times New Roman"/>
        </w:rPr>
        <w:t>Baumer</w:t>
      </w:r>
      <w:proofErr w:type="spellEnd"/>
      <w:r w:rsidRPr="008F46C1">
        <w:rPr>
          <w:rFonts w:ascii="Times New Roman" w:hAnsi="Times New Roman" w:cs="Times New Roman"/>
        </w:rPr>
        <w:t xml:space="preserve"> E, Horney J, Felson R, et al. Neighborhood disadvantage and the nature of violence. Criminology </w:t>
      </w:r>
      <w:proofErr w:type="gramStart"/>
      <w:r w:rsidRPr="008F46C1">
        <w:rPr>
          <w:rFonts w:ascii="Times New Roman" w:hAnsi="Times New Roman" w:cs="Times New Roman"/>
        </w:rPr>
        <w:t>2003;41:39</w:t>
      </w:r>
      <w:proofErr w:type="gramEnd"/>
      <w:r w:rsidRPr="008F46C1">
        <w:rPr>
          <w:rFonts w:ascii="Times New Roman" w:hAnsi="Times New Roman" w:cs="Times New Roman"/>
        </w:rPr>
        <w:t>–72. https://doi.org/10.1111/j.1745-9125.2003.tb00981.x.</w:t>
      </w:r>
    </w:p>
    <w:p w14:paraId="4A35C1B9"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lastRenderedPageBreak/>
        <w:t>[37]</w:t>
      </w:r>
      <w:r w:rsidRPr="008F46C1">
        <w:rPr>
          <w:rFonts w:ascii="Times New Roman" w:hAnsi="Times New Roman" w:cs="Times New Roman"/>
        </w:rPr>
        <w:tab/>
        <w:t xml:space="preserve">Hipp JR. A dynamic view of neighborhoods: The reciprocal relationship between crime and neighborhood structural characteristics. Soc </w:t>
      </w:r>
      <w:proofErr w:type="spellStart"/>
      <w:r w:rsidRPr="008F46C1">
        <w:rPr>
          <w:rFonts w:ascii="Times New Roman" w:hAnsi="Times New Roman" w:cs="Times New Roman"/>
        </w:rPr>
        <w:t>Probl</w:t>
      </w:r>
      <w:proofErr w:type="spellEnd"/>
      <w:r w:rsidRPr="008F46C1">
        <w:rPr>
          <w:rFonts w:ascii="Times New Roman" w:hAnsi="Times New Roman" w:cs="Times New Roman"/>
        </w:rPr>
        <w:t xml:space="preserve"> </w:t>
      </w:r>
      <w:proofErr w:type="gramStart"/>
      <w:r w:rsidRPr="008F46C1">
        <w:rPr>
          <w:rFonts w:ascii="Times New Roman" w:hAnsi="Times New Roman" w:cs="Times New Roman"/>
        </w:rPr>
        <w:t>2010;57:205</w:t>
      </w:r>
      <w:proofErr w:type="gramEnd"/>
      <w:r w:rsidRPr="008F46C1">
        <w:rPr>
          <w:rFonts w:ascii="Times New Roman" w:hAnsi="Times New Roman" w:cs="Times New Roman"/>
        </w:rPr>
        <w:t>–30. https://doi.org/10.1525/sp.2010.57.2.205.</w:t>
      </w:r>
    </w:p>
    <w:p w14:paraId="0B55A6FC"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[38]</w:t>
      </w:r>
      <w:r w:rsidRPr="008F46C1">
        <w:rPr>
          <w:rFonts w:ascii="Times New Roman" w:hAnsi="Times New Roman" w:cs="Times New Roman"/>
        </w:rPr>
        <w:tab/>
        <w:t xml:space="preserve">Kravitz-Wirtz N, Bruns A, Aubel AJ, et al. Inequities in community exposure to deadly gun violence by race/ethnicity, poverty, and neighborhood disadvantage among youth in large US cities. J Urban Health </w:t>
      </w:r>
      <w:proofErr w:type="gramStart"/>
      <w:r w:rsidRPr="008F46C1">
        <w:rPr>
          <w:rFonts w:ascii="Times New Roman" w:hAnsi="Times New Roman" w:cs="Times New Roman"/>
        </w:rPr>
        <w:t>2022;99:610</w:t>
      </w:r>
      <w:proofErr w:type="gramEnd"/>
      <w:r w:rsidRPr="008F46C1">
        <w:rPr>
          <w:rFonts w:ascii="Times New Roman" w:hAnsi="Times New Roman" w:cs="Times New Roman"/>
        </w:rPr>
        <w:t>–25. https://doi.org/10.1007/s11524-022-00656-0.</w:t>
      </w:r>
    </w:p>
    <w:p w14:paraId="6FF3BDAD"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[39]</w:t>
      </w:r>
      <w:r w:rsidRPr="008F46C1">
        <w:rPr>
          <w:rFonts w:ascii="Times New Roman" w:hAnsi="Times New Roman" w:cs="Times New Roman"/>
        </w:rPr>
        <w:tab/>
        <w:t xml:space="preserve">Levy BL, Phillips NE, Sampson RJ. Triple disadvantage: Neighborhood networks of everyday urban mobility and violence in U.S. cities. Am </w:t>
      </w:r>
      <w:proofErr w:type="spellStart"/>
      <w:r w:rsidRPr="008F46C1">
        <w:rPr>
          <w:rFonts w:ascii="Times New Roman" w:hAnsi="Times New Roman" w:cs="Times New Roman"/>
        </w:rPr>
        <w:t>Sociol</w:t>
      </w:r>
      <w:proofErr w:type="spellEnd"/>
      <w:r w:rsidRPr="008F46C1">
        <w:rPr>
          <w:rFonts w:ascii="Times New Roman" w:hAnsi="Times New Roman" w:cs="Times New Roman"/>
        </w:rPr>
        <w:t xml:space="preserve"> Rev </w:t>
      </w:r>
      <w:proofErr w:type="gramStart"/>
      <w:r w:rsidRPr="008F46C1">
        <w:rPr>
          <w:rFonts w:ascii="Times New Roman" w:hAnsi="Times New Roman" w:cs="Times New Roman"/>
        </w:rPr>
        <w:t>2020;85:925</w:t>
      </w:r>
      <w:proofErr w:type="gramEnd"/>
      <w:r w:rsidRPr="008F46C1">
        <w:rPr>
          <w:rFonts w:ascii="Times New Roman" w:hAnsi="Times New Roman" w:cs="Times New Roman"/>
        </w:rPr>
        <w:t>–56. https://doi.org/10.1177/0003122420972323.</w:t>
      </w:r>
    </w:p>
    <w:p w14:paraId="74C09586"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[40]</w:t>
      </w:r>
      <w:r w:rsidRPr="008F46C1">
        <w:rPr>
          <w:rFonts w:ascii="Times New Roman" w:hAnsi="Times New Roman" w:cs="Times New Roman"/>
        </w:rPr>
        <w:tab/>
        <w:t xml:space="preserve">Semenza DC, Stansfield R, Silver IA, et al. Reciprocal neighborhood dynamics in gun violence exposure, community health, and concentrated disadvantage in one hundred US cities. J Urban Health </w:t>
      </w:r>
      <w:proofErr w:type="gramStart"/>
      <w:r w:rsidRPr="008F46C1">
        <w:rPr>
          <w:rFonts w:ascii="Times New Roman" w:hAnsi="Times New Roman" w:cs="Times New Roman"/>
        </w:rPr>
        <w:t>2023;100:1128</w:t>
      </w:r>
      <w:proofErr w:type="gramEnd"/>
      <w:r w:rsidRPr="008F46C1">
        <w:rPr>
          <w:rFonts w:ascii="Times New Roman" w:hAnsi="Times New Roman" w:cs="Times New Roman"/>
        </w:rPr>
        <w:t>–39. https://doi.org/10.1007/s11524-023-00796-x.</w:t>
      </w:r>
    </w:p>
    <w:p w14:paraId="1B35234D"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[41]</w:t>
      </w:r>
      <w:r w:rsidRPr="008F46C1">
        <w:rPr>
          <w:rFonts w:ascii="Times New Roman" w:hAnsi="Times New Roman" w:cs="Times New Roman"/>
        </w:rPr>
        <w:tab/>
        <w:t xml:space="preserve">Vogel M, South SJ. Spatial dimensions of the effect of neighborhood disadvantage on delinquency. Criminology </w:t>
      </w:r>
      <w:proofErr w:type="gramStart"/>
      <w:r w:rsidRPr="008F46C1">
        <w:rPr>
          <w:rFonts w:ascii="Times New Roman" w:hAnsi="Times New Roman" w:cs="Times New Roman"/>
        </w:rPr>
        <w:t>2016;54:434</w:t>
      </w:r>
      <w:proofErr w:type="gramEnd"/>
      <w:r w:rsidRPr="008F46C1">
        <w:rPr>
          <w:rFonts w:ascii="Times New Roman" w:hAnsi="Times New Roman" w:cs="Times New Roman"/>
        </w:rPr>
        <w:t>–58. https://doi.org/10.1111/1745-9125.12110.</w:t>
      </w:r>
    </w:p>
    <w:p w14:paraId="609810E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[42]</w:t>
      </w:r>
      <w:r w:rsidRPr="008F46C1">
        <w:rPr>
          <w:rFonts w:ascii="Times New Roman" w:hAnsi="Times New Roman" w:cs="Times New Roman"/>
        </w:rPr>
        <w:tab/>
        <w:t xml:space="preserve">Ousey GC, </w:t>
      </w:r>
      <w:proofErr w:type="spellStart"/>
      <w:r w:rsidRPr="008F46C1">
        <w:rPr>
          <w:rFonts w:ascii="Times New Roman" w:hAnsi="Times New Roman" w:cs="Times New Roman"/>
        </w:rPr>
        <w:t>Kubrin</w:t>
      </w:r>
      <w:proofErr w:type="spellEnd"/>
      <w:r w:rsidRPr="008F46C1">
        <w:rPr>
          <w:rFonts w:ascii="Times New Roman" w:hAnsi="Times New Roman" w:cs="Times New Roman"/>
        </w:rPr>
        <w:t xml:space="preserve"> CE. Immigration and crime: Assessing a contentious issue. Annual Review of Criminology </w:t>
      </w:r>
      <w:proofErr w:type="gramStart"/>
      <w:r w:rsidRPr="008F46C1">
        <w:rPr>
          <w:rFonts w:ascii="Times New Roman" w:hAnsi="Times New Roman" w:cs="Times New Roman"/>
        </w:rPr>
        <w:t>2018;1:63</w:t>
      </w:r>
      <w:proofErr w:type="gramEnd"/>
      <w:r w:rsidRPr="008F46C1">
        <w:rPr>
          <w:rFonts w:ascii="Times New Roman" w:hAnsi="Times New Roman" w:cs="Times New Roman"/>
        </w:rPr>
        <w:t>–84. https://doi.org/10.1146/annurev-criminol-032317-092026.</w:t>
      </w:r>
    </w:p>
    <w:p w14:paraId="44CE004E"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[43]</w:t>
      </w:r>
      <w:r w:rsidRPr="008F46C1">
        <w:rPr>
          <w:rFonts w:ascii="Times New Roman" w:hAnsi="Times New Roman" w:cs="Times New Roman"/>
        </w:rPr>
        <w:tab/>
        <w:t xml:space="preserve">Spielman SE, Tuccillo J, Folch DC, et al. Evaluating social vulnerability indicators: criteria and their application to the social vulnerability index. Nat Hazards </w:t>
      </w:r>
      <w:proofErr w:type="gramStart"/>
      <w:r w:rsidRPr="008F46C1">
        <w:rPr>
          <w:rFonts w:ascii="Times New Roman" w:hAnsi="Times New Roman" w:cs="Times New Roman"/>
        </w:rPr>
        <w:t>2020;100:417</w:t>
      </w:r>
      <w:proofErr w:type="gramEnd"/>
      <w:r w:rsidRPr="008F46C1">
        <w:rPr>
          <w:rFonts w:ascii="Times New Roman" w:hAnsi="Times New Roman" w:cs="Times New Roman"/>
        </w:rPr>
        <w:t>–36. https://doi.org/10.1007/s11069-019-03820-z.</w:t>
      </w:r>
    </w:p>
    <w:p w14:paraId="2DEE909F"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[44]</w:t>
      </w:r>
      <w:r w:rsidRPr="008F46C1">
        <w:rPr>
          <w:rFonts w:ascii="Times New Roman" w:hAnsi="Times New Roman" w:cs="Times New Roman"/>
        </w:rPr>
        <w:tab/>
        <w:t xml:space="preserve">Rufat S, Tate E, Burton CG, et al. </w:t>
      </w:r>
      <w:proofErr w:type="gramStart"/>
      <w:r w:rsidRPr="008F46C1">
        <w:rPr>
          <w:rFonts w:ascii="Times New Roman" w:hAnsi="Times New Roman" w:cs="Times New Roman"/>
        </w:rPr>
        <w:t>Social</w:t>
      </w:r>
      <w:proofErr w:type="gramEnd"/>
      <w:r w:rsidRPr="008F46C1">
        <w:rPr>
          <w:rFonts w:ascii="Times New Roman" w:hAnsi="Times New Roman" w:cs="Times New Roman"/>
        </w:rPr>
        <w:t xml:space="preserve"> vulnerability to floods: Review of case studies and implications for measurement. International Journal of Disaster Risk Reduction </w:t>
      </w:r>
      <w:proofErr w:type="gramStart"/>
      <w:r w:rsidRPr="008F46C1">
        <w:rPr>
          <w:rFonts w:ascii="Times New Roman" w:hAnsi="Times New Roman" w:cs="Times New Roman"/>
        </w:rPr>
        <w:t>2015;14:470</w:t>
      </w:r>
      <w:proofErr w:type="gramEnd"/>
      <w:r w:rsidRPr="008F46C1">
        <w:rPr>
          <w:rFonts w:ascii="Times New Roman" w:hAnsi="Times New Roman" w:cs="Times New Roman"/>
        </w:rPr>
        <w:t>–86. https://doi.org/10.1016/j.ijdrr.2015.09.013.</w:t>
      </w:r>
    </w:p>
    <w:p w14:paraId="342EE6E6"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lang w:val="it-IT"/>
        </w:rPr>
        <w:t>[45]</w:t>
      </w:r>
      <w:r w:rsidRPr="008F46C1">
        <w:rPr>
          <w:rFonts w:ascii="Times New Roman" w:hAnsi="Times New Roman" w:cs="Times New Roman"/>
          <w:lang w:val="it-IT"/>
        </w:rPr>
        <w:tab/>
        <w:t xml:space="preserve">Kim J-O, Mueller CW. </w:t>
      </w:r>
      <w:r w:rsidRPr="008F46C1">
        <w:rPr>
          <w:rFonts w:ascii="Times New Roman" w:hAnsi="Times New Roman" w:cs="Times New Roman"/>
        </w:rPr>
        <w:t>Factor analysis: Statistical methods and practical issues. SAGE; 1978.</w:t>
      </w:r>
    </w:p>
    <w:p w14:paraId="065CD5CF"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[46]</w:t>
      </w:r>
      <w:r w:rsidRPr="008F46C1">
        <w:rPr>
          <w:rFonts w:ascii="Times New Roman" w:hAnsi="Times New Roman" w:cs="Times New Roman"/>
        </w:rPr>
        <w:tab/>
        <w:t>Sharkey P. American Violence n.d. https://www.americanviolence.org/ (accessed June 3, 2026).</w:t>
      </w:r>
    </w:p>
    <w:p w14:paraId="328307E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[47]</w:t>
      </w:r>
      <w:r w:rsidRPr="008F46C1">
        <w:rPr>
          <w:rFonts w:ascii="Times New Roman" w:hAnsi="Times New Roman" w:cs="Times New Roman"/>
        </w:rPr>
        <w:tab/>
        <w:t xml:space="preserve">Crowder K, South SJ. Spatial and temporal dimensions of neighborhood effects on high school graduation. Social Science Research </w:t>
      </w:r>
      <w:proofErr w:type="gramStart"/>
      <w:r w:rsidRPr="008F46C1">
        <w:rPr>
          <w:rFonts w:ascii="Times New Roman" w:hAnsi="Times New Roman" w:cs="Times New Roman"/>
        </w:rPr>
        <w:t>2011;40:87</w:t>
      </w:r>
      <w:proofErr w:type="gramEnd"/>
      <w:r w:rsidRPr="008F46C1">
        <w:rPr>
          <w:rFonts w:ascii="Times New Roman" w:hAnsi="Times New Roman" w:cs="Times New Roman"/>
        </w:rPr>
        <w:t>–106. https://doi.org/10.1016/j.ssresearch.2010.04.013.</w:t>
      </w:r>
    </w:p>
    <w:p w14:paraId="67D3922B"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[48]</w:t>
      </w:r>
      <w:r w:rsidRPr="008F46C1">
        <w:rPr>
          <w:rFonts w:ascii="Times New Roman" w:hAnsi="Times New Roman" w:cs="Times New Roman"/>
        </w:rPr>
        <w:tab/>
        <w:t xml:space="preserve">Vuong QH. Likelihood ratio tests for model selection and non-nested hypotheses. </w:t>
      </w:r>
      <w:proofErr w:type="spellStart"/>
      <w:r w:rsidRPr="008F46C1">
        <w:rPr>
          <w:rFonts w:ascii="Times New Roman" w:hAnsi="Times New Roman" w:cs="Times New Roman"/>
        </w:rPr>
        <w:t>Econometrica</w:t>
      </w:r>
      <w:proofErr w:type="spellEnd"/>
      <w:r w:rsidRPr="008F46C1">
        <w:rPr>
          <w:rFonts w:ascii="Times New Roman" w:hAnsi="Times New Roman" w:cs="Times New Roman"/>
        </w:rPr>
        <w:t xml:space="preserve"> </w:t>
      </w:r>
      <w:proofErr w:type="gramStart"/>
      <w:r w:rsidRPr="008F46C1">
        <w:rPr>
          <w:rFonts w:ascii="Times New Roman" w:hAnsi="Times New Roman" w:cs="Times New Roman"/>
        </w:rPr>
        <w:t>1989;57:307</w:t>
      </w:r>
      <w:proofErr w:type="gramEnd"/>
      <w:r w:rsidRPr="008F46C1">
        <w:rPr>
          <w:rFonts w:ascii="Times New Roman" w:hAnsi="Times New Roman" w:cs="Times New Roman"/>
        </w:rPr>
        <w:t>. https://doi.org/10.2307/1912557.</w:t>
      </w:r>
    </w:p>
    <w:p w14:paraId="3A9B669F" w14:textId="77777777"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[49]</w:t>
      </w:r>
      <w:r w:rsidRPr="008F46C1">
        <w:rPr>
          <w:rFonts w:ascii="Times New Roman" w:hAnsi="Times New Roman" w:cs="Times New Roman"/>
        </w:rPr>
        <w:tab/>
        <w:t xml:space="preserve">Thomas KJ, O’Neill J, Vogel M. Neighborhood disadvantage, social groups, and adolescent violence: Assessing mechanisms in structural-cultural theories. Justice Quarterly </w:t>
      </w:r>
      <w:proofErr w:type="gramStart"/>
      <w:r w:rsidRPr="008F46C1">
        <w:rPr>
          <w:rFonts w:ascii="Times New Roman" w:hAnsi="Times New Roman" w:cs="Times New Roman"/>
        </w:rPr>
        <w:t>2025;42:363</w:t>
      </w:r>
      <w:proofErr w:type="gramEnd"/>
      <w:r w:rsidRPr="008F46C1">
        <w:rPr>
          <w:rFonts w:ascii="Times New Roman" w:hAnsi="Times New Roman" w:cs="Times New Roman"/>
        </w:rPr>
        <w:t>–95. https://doi.org/10.1080/07418825.2024.2358018.</w:t>
      </w:r>
    </w:p>
    <w:p w14:paraId="76BCA3EC" w14:textId="50ADE86E" w:rsidR="00066DE5" w:rsidRPr="008F46C1" w:rsidRDefault="00066DE5" w:rsidP="00066DE5">
      <w:pPr>
        <w:pStyle w:val="Bibliography"/>
        <w:rPr>
          <w:rFonts w:ascii="Times New Roman" w:hAnsi="Times New Roman" w:cs="Times New Roman"/>
        </w:rPr>
      </w:pPr>
      <w:r w:rsidRPr="008F46C1">
        <w:rPr>
          <w:rFonts w:ascii="Times New Roman" w:hAnsi="Times New Roman" w:cs="Times New Roman"/>
        </w:rPr>
        <w:t>[50]</w:t>
      </w:r>
      <w:r w:rsidRPr="008F46C1">
        <w:rPr>
          <w:rFonts w:ascii="Times New Roman" w:hAnsi="Times New Roman" w:cs="Times New Roman"/>
        </w:rPr>
        <w:tab/>
        <w:t>Wical W, Williams T, Strong B, et al. “It is nice, but it can’t keep me safe”: Perspectives on the effectiveness of hospital-based violence intervention programs. Trauma Surgery &amp; Acute Care Open</w:t>
      </w:r>
      <w:r w:rsidR="00267C29" w:rsidRPr="008F46C1">
        <w:rPr>
          <w:rFonts w:ascii="Times New Roman" w:hAnsi="Times New Roman" w:cs="Times New Roman"/>
          <w:lang w:eastAsia="ko-KR"/>
        </w:rPr>
        <w:t>.</w:t>
      </w:r>
      <w:r w:rsidRPr="008F46C1">
        <w:rPr>
          <w:rFonts w:ascii="Times New Roman" w:hAnsi="Times New Roman" w:cs="Times New Roman"/>
        </w:rPr>
        <w:t xml:space="preserve"> </w:t>
      </w:r>
      <w:r w:rsidR="00267C29" w:rsidRPr="008F46C1">
        <w:rPr>
          <w:rFonts w:ascii="Times New Roman" w:hAnsi="Times New Roman" w:cs="Times New Roman"/>
          <w:lang w:eastAsia="ko-KR"/>
        </w:rPr>
        <w:t>Forthcoming 2026</w:t>
      </w:r>
      <w:r w:rsidRPr="008F46C1">
        <w:rPr>
          <w:rFonts w:ascii="Times New Roman" w:hAnsi="Times New Roman" w:cs="Times New Roman"/>
        </w:rPr>
        <w:t>.</w:t>
      </w:r>
    </w:p>
    <w:p w14:paraId="1E3BB555" w14:textId="417FD57D" w:rsidR="00C808D1" w:rsidRPr="005D674F" w:rsidRDefault="00E85600" w:rsidP="00E85600">
      <w:pPr>
        <w:rPr>
          <w:rFonts w:ascii="Garamond" w:hAnsi="Garamond" w:cs="Times New Roman"/>
        </w:rPr>
      </w:pPr>
      <w:r w:rsidRPr="008F46C1">
        <w:rPr>
          <w:rFonts w:ascii="Times New Roman" w:hAnsi="Times New Roman" w:cs="Times New Roman"/>
        </w:rPr>
        <w:fldChar w:fldCharType="end"/>
      </w:r>
    </w:p>
    <w:p w14:paraId="235AFB6E" w14:textId="77777777" w:rsidR="005D674F" w:rsidRPr="005D674F" w:rsidRDefault="005D674F" w:rsidP="008918A0">
      <w:pPr>
        <w:spacing w:after="0" w:line="240" w:lineRule="auto"/>
        <w:jc w:val="both"/>
        <w:rPr>
          <w:rFonts w:ascii="Garamond" w:hAnsi="Garamond"/>
          <w:b/>
          <w:bCs/>
        </w:rPr>
      </w:pPr>
    </w:p>
    <w:p w14:paraId="35884F26" w14:textId="77777777" w:rsidR="00B529D2" w:rsidRPr="005D674F" w:rsidRDefault="00B529D2" w:rsidP="008918A0">
      <w:pPr>
        <w:spacing w:after="0" w:line="240" w:lineRule="auto"/>
        <w:jc w:val="both"/>
        <w:rPr>
          <w:rFonts w:ascii="Garamond" w:hAnsi="Garamond"/>
        </w:rPr>
      </w:pPr>
    </w:p>
    <w:p w14:paraId="74D64ABB" w14:textId="77777777" w:rsidR="00663C70" w:rsidRDefault="00663C70" w:rsidP="00663C70">
      <w:pPr>
        <w:spacing w:after="0" w:line="240" w:lineRule="auto"/>
        <w:rPr>
          <w:rFonts w:ascii="Garamond" w:hAnsi="Garamond"/>
        </w:rPr>
      </w:pPr>
    </w:p>
    <w:p w14:paraId="7CB7F4A7" w14:textId="77777777" w:rsidR="003B2282" w:rsidRDefault="003B2282" w:rsidP="00663C70">
      <w:pPr>
        <w:spacing w:after="0" w:line="240" w:lineRule="auto"/>
        <w:rPr>
          <w:rFonts w:ascii="Garamond" w:hAnsi="Garamond"/>
        </w:rPr>
      </w:pPr>
    </w:p>
    <w:p w14:paraId="2923BDB8" w14:textId="77777777" w:rsidR="00CB2D5B" w:rsidRPr="005D674F" w:rsidRDefault="00CB2D5B" w:rsidP="00663C70">
      <w:pPr>
        <w:spacing w:after="0" w:line="240" w:lineRule="auto"/>
        <w:rPr>
          <w:rFonts w:ascii="Garamond" w:hAnsi="Garamond"/>
        </w:rPr>
      </w:pPr>
    </w:p>
    <w:p w14:paraId="18BEB764" w14:textId="77777777" w:rsidR="00B93C88" w:rsidRDefault="00B93C88" w:rsidP="00663C70">
      <w:pPr>
        <w:spacing w:after="0" w:line="240" w:lineRule="auto"/>
        <w:rPr>
          <w:rFonts w:ascii="Garamond" w:hAnsi="Garamond"/>
        </w:rPr>
      </w:pPr>
    </w:p>
    <w:p w14:paraId="55CA5023" w14:textId="77777777" w:rsidR="007475ED" w:rsidRDefault="007475ED">
      <w:pPr>
        <w:rPr>
          <w:rFonts w:ascii="Garamond" w:hAnsi="Garamond"/>
        </w:rPr>
      </w:pPr>
      <w:r>
        <w:rPr>
          <w:rFonts w:ascii="Garamond" w:hAnsi="Garamond"/>
        </w:rPr>
        <w:br w:type="page"/>
      </w:r>
    </w:p>
    <w:p w14:paraId="0858D9A7" w14:textId="5D746818" w:rsidR="004540AE" w:rsidRDefault="004540AE" w:rsidP="004540AE">
      <w:pPr>
        <w:spacing w:after="0" w:line="240" w:lineRule="auto"/>
        <w:rPr>
          <w:rFonts w:ascii="Garamond" w:hAnsi="Garamond"/>
        </w:rPr>
      </w:pPr>
      <w:r>
        <w:rPr>
          <w:rFonts w:ascii="Garamond" w:hAnsi="Garamond"/>
        </w:rPr>
        <w:lastRenderedPageBreak/>
        <w:t xml:space="preserve">Figure 1: Bivariate Correlations between Composite SVI, Subtheme, CDI, and Firearm Homicide </w:t>
      </w:r>
    </w:p>
    <w:p w14:paraId="53A2979C" w14:textId="77777777" w:rsidR="004540AE" w:rsidRDefault="004540AE" w:rsidP="004540AE">
      <w:pPr>
        <w:spacing w:after="0" w:line="240" w:lineRule="auto"/>
        <w:rPr>
          <w:rFonts w:ascii="Garamond" w:hAnsi="Garamond"/>
        </w:rPr>
      </w:pPr>
      <w:r>
        <w:rPr>
          <w:rFonts w:ascii="Garamond" w:hAnsi="Garamond"/>
        </w:rPr>
        <w:t xml:space="preserve">(N = 13,268 tracts). </w:t>
      </w:r>
    </w:p>
    <w:p w14:paraId="1F9F2180" w14:textId="77777777" w:rsidR="004540AE" w:rsidRDefault="004540AE" w:rsidP="004540AE">
      <w:pPr>
        <w:spacing w:after="0" w:line="240" w:lineRule="auto"/>
        <w:rPr>
          <w:rFonts w:ascii="Garamond" w:hAnsi="Garamond"/>
        </w:rPr>
      </w:pPr>
      <w:r>
        <w:rPr>
          <w:rFonts w:ascii="Garamond" w:hAnsi="Garamond"/>
          <w:noProof/>
        </w:rPr>
        <w:drawing>
          <wp:inline distT="0" distB="0" distL="0" distR="0" wp14:anchorId="32ADF5EC" wp14:editId="56C0277D">
            <wp:extent cx="5943600" cy="4752975"/>
            <wp:effectExtent l="0" t="0" r="0" b="9525"/>
            <wp:docPr id="783532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14:paraId="36D4FF92" w14:textId="77777777" w:rsidR="004540AE" w:rsidRDefault="004540AE" w:rsidP="004540AE">
      <w:pPr>
        <w:spacing w:after="0" w:line="240" w:lineRule="auto"/>
        <w:rPr>
          <w:rFonts w:ascii="Garamond" w:hAnsi="Garamond"/>
        </w:rPr>
      </w:pPr>
    </w:p>
    <w:p w14:paraId="245D563D" w14:textId="77777777" w:rsidR="004540AE" w:rsidRDefault="004540AE" w:rsidP="004540AE">
      <w:pPr>
        <w:spacing w:after="0" w:line="240" w:lineRule="auto"/>
        <w:rPr>
          <w:rFonts w:ascii="Garamond" w:hAnsi="Garamond"/>
        </w:rPr>
      </w:pPr>
    </w:p>
    <w:p w14:paraId="2BC21F9A" w14:textId="77777777" w:rsidR="004540AE" w:rsidRDefault="004540AE" w:rsidP="004540AE">
      <w:pPr>
        <w:spacing w:after="0" w:line="240" w:lineRule="auto"/>
        <w:rPr>
          <w:rFonts w:ascii="Garamond" w:hAnsi="Garamond"/>
        </w:rPr>
      </w:pPr>
    </w:p>
    <w:p w14:paraId="51432EB0" w14:textId="77777777" w:rsidR="004540AE" w:rsidRDefault="004540AE" w:rsidP="004540AE">
      <w:pPr>
        <w:spacing w:after="0" w:line="240" w:lineRule="auto"/>
        <w:rPr>
          <w:rFonts w:ascii="Garamond" w:hAnsi="Garamond"/>
        </w:rPr>
      </w:pPr>
    </w:p>
    <w:p w14:paraId="1962E451" w14:textId="77777777" w:rsidR="004540AE" w:rsidRDefault="004540AE" w:rsidP="004540AE">
      <w:pPr>
        <w:spacing w:after="0" w:line="240" w:lineRule="auto"/>
        <w:rPr>
          <w:rFonts w:ascii="Garamond" w:hAnsi="Garamond"/>
        </w:rPr>
      </w:pPr>
    </w:p>
    <w:p w14:paraId="51B216BE" w14:textId="77777777" w:rsidR="004540AE" w:rsidRDefault="004540AE" w:rsidP="004540AE">
      <w:pPr>
        <w:rPr>
          <w:rFonts w:ascii="Garamond" w:hAnsi="Garamond"/>
        </w:rPr>
      </w:pPr>
      <w:r>
        <w:rPr>
          <w:rFonts w:ascii="Garamond" w:hAnsi="Garamond"/>
        </w:rPr>
        <w:br w:type="page"/>
      </w:r>
    </w:p>
    <w:p w14:paraId="381F67CB" w14:textId="77777777" w:rsidR="004540AE" w:rsidRDefault="004540AE" w:rsidP="004540AE">
      <w:pPr>
        <w:spacing w:after="0" w:line="240" w:lineRule="auto"/>
        <w:rPr>
          <w:rFonts w:ascii="Garamond" w:hAnsi="Garamond"/>
        </w:rPr>
      </w:pPr>
      <w:r>
        <w:rPr>
          <w:rFonts w:ascii="Garamond" w:hAnsi="Garamond"/>
        </w:rPr>
        <w:lastRenderedPageBreak/>
        <w:t>Figure 2: Bivariate Correlations between SVI items, CDI items, and Firearm Homicide (N = 13, 268 tracts)</w:t>
      </w:r>
    </w:p>
    <w:p w14:paraId="27DD9863" w14:textId="77777777" w:rsidR="004540AE" w:rsidRPr="00B93C88" w:rsidRDefault="004540AE" w:rsidP="004540AE">
      <w:pPr>
        <w:spacing w:after="0" w:line="240" w:lineRule="auto"/>
        <w:rPr>
          <w:rFonts w:ascii="Garamond" w:hAnsi="Garamond"/>
        </w:rPr>
      </w:pPr>
      <w:r>
        <w:rPr>
          <w:rFonts w:ascii="Garamond" w:hAnsi="Garamond"/>
          <w:noProof/>
        </w:rPr>
        <w:drawing>
          <wp:inline distT="0" distB="0" distL="0" distR="0" wp14:anchorId="24B7CE90" wp14:editId="3A7C3039">
            <wp:extent cx="5943600" cy="4752975"/>
            <wp:effectExtent l="0" t="0" r="0" b="9525"/>
            <wp:docPr id="3450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14:paraId="7B2BC5EF" w14:textId="77777777" w:rsidR="004540AE" w:rsidRDefault="004540AE" w:rsidP="004540AE">
      <w:pPr>
        <w:spacing w:after="0" w:line="240" w:lineRule="auto"/>
        <w:rPr>
          <w:rFonts w:ascii="Garamond" w:hAnsi="Garamond"/>
        </w:rPr>
      </w:pPr>
    </w:p>
    <w:p w14:paraId="595555F6" w14:textId="77777777" w:rsidR="004540AE" w:rsidRDefault="004540AE" w:rsidP="004540AE">
      <w:pPr>
        <w:spacing w:after="0" w:line="240" w:lineRule="auto"/>
        <w:rPr>
          <w:rFonts w:ascii="Garamond" w:hAnsi="Garamond"/>
        </w:rPr>
      </w:pPr>
    </w:p>
    <w:p w14:paraId="39CFAD30" w14:textId="77777777" w:rsidR="004540AE" w:rsidRDefault="004540AE" w:rsidP="004540AE">
      <w:pPr>
        <w:spacing w:after="0" w:line="240" w:lineRule="auto"/>
        <w:rPr>
          <w:rFonts w:ascii="Garamond" w:hAnsi="Garamond"/>
        </w:rPr>
      </w:pPr>
    </w:p>
    <w:p w14:paraId="6F33D6B6" w14:textId="77777777" w:rsidR="004540AE" w:rsidRDefault="004540AE" w:rsidP="004540AE">
      <w:pPr>
        <w:spacing w:after="0" w:line="240" w:lineRule="auto"/>
        <w:rPr>
          <w:rFonts w:ascii="Garamond" w:hAnsi="Garamond"/>
        </w:rPr>
      </w:pPr>
    </w:p>
    <w:p w14:paraId="32C100E0" w14:textId="77777777" w:rsidR="004540AE" w:rsidRDefault="004540AE" w:rsidP="004540AE">
      <w:pPr>
        <w:spacing w:after="0" w:line="240" w:lineRule="auto"/>
        <w:rPr>
          <w:rFonts w:ascii="Garamond" w:hAnsi="Garamond"/>
        </w:rPr>
      </w:pPr>
    </w:p>
    <w:p w14:paraId="314B557C" w14:textId="77777777" w:rsidR="004540AE" w:rsidRDefault="004540AE" w:rsidP="004540AE">
      <w:pPr>
        <w:spacing w:after="0" w:line="240" w:lineRule="auto"/>
        <w:rPr>
          <w:rFonts w:ascii="Garamond" w:hAnsi="Garamond"/>
        </w:rPr>
      </w:pPr>
    </w:p>
    <w:p w14:paraId="321B5428" w14:textId="77777777" w:rsidR="004540AE" w:rsidRDefault="004540AE" w:rsidP="004540AE">
      <w:pPr>
        <w:spacing w:after="0" w:line="240" w:lineRule="auto"/>
        <w:rPr>
          <w:rFonts w:ascii="Garamond" w:hAnsi="Garamond"/>
        </w:rPr>
      </w:pPr>
    </w:p>
    <w:p w14:paraId="5D7861C3" w14:textId="77777777" w:rsidR="004540AE" w:rsidRPr="005D674F" w:rsidRDefault="004540AE" w:rsidP="004540AE">
      <w:pPr>
        <w:spacing w:after="0" w:line="240" w:lineRule="auto"/>
        <w:rPr>
          <w:rFonts w:ascii="Garamond" w:hAnsi="Garamond"/>
        </w:rPr>
      </w:pPr>
    </w:p>
    <w:p w14:paraId="6E4B70DF" w14:textId="77777777" w:rsidR="004540AE" w:rsidRDefault="004540AE" w:rsidP="004540AE">
      <w:pPr>
        <w:spacing w:after="0" w:line="240" w:lineRule="auto"/>
        <w:jc w:val="both"/>
        <w:rPr>
          <w:rFonts w:ascii="Garamond" w:hAnsi="Garamond"/>
        </w:rPr>
      </w:pPr>
    </w:p>
    <w:p w14:paraId="5F35FE97" w14:textId="77777777" w:rsidR="004540AE" w:rsidRDefault="004540AE" w:rsidP="004540AE">
      <w:pPr>
        <w:spacing w:after="0" w:line="240" w:lineRule="auto"/>
        <w:jc w:val="both"/>
        <w:rPr>
          <w:rFonts w:ascii="Garamond" w:hAnsi="Garamond"/>
        </w:rPr>
      </w:pPr>
    </w:p>
    <w:p w14:paraId="3574D021" w14:textId="77777777" w:rsidR="004540AE" w:rsidRDefault="004540AE" w:rsidP="004540AE">
      <w:pPr>
        <w:spacing w:after="0" w:line="240" w:lineRule="auto"/>
        <w:jc w:val="both"/>
        <w:rPr>
          <w:rFonts w:ascii="Garamond" w:hAnsi="Garamond"/>
        </w:rPr>
      </w:pPr>
    </w:p>
    <w:p w14:paraId="5D6163B1" w14:textId="77777777" w:rsidR="004540AE" w:rsidRDefault="004540AE" w:rsidP="004540AE">
      <w:pPr>
        <w:spacing w:after="0" w:line="240" w:lineRule="auto"/>
        <w:jc w:val="both"/>
        <w:rPr>
          <w:rFonts w:ascii="Garamond" w:hAnsi="Garamond"/>
        </w:rPr>
      </w:pPr>
    </w:p>
    <w:p w14:paraId="7C3A781B" w14:textId="77777777" w:rsidR="004540AE" w:rsidRDefault="004540AE" w:rsidP="004540AE">
      <w:pPr>
        <w:spacing w:after="0" w:line="240" w:lineRule="auto"/>
        <w:jc w:val="both"/>
        <w:rPr>
          <w:rFonts w:ascii="Garamond" w:hAnsi="Garamond"/>
        </w:rPr>
      </w:pPr>
    </w:p>
    <w:p w14:paraId="6A1E98D8" w14:textId="77777777" w:rsidR="004540AE" w:rsidRDefault="004540AE" w:rsidP="004540AE">
      <w:pPr>
        <w:spacing w:after="0" w:line="240" w:lineRule="auto"/>
        <w:jc w:val="both"/>
        <w:rPr>
          <w:rFonts w:ascii="Garamond" w:hAnsi="Garamond"/>
        </w:rPr>
      </w:pPr>
    </w:p>
    <w:p w14:paraId="32DA8C2F" w14:textId="77777777" w:rsidR="004540AE" w:rsidRDefault="004540AE" w:rsidP="004540AE">
      <w:pPr>
        <w:spacing w:after="0" w:line="240" w:lineRule="auto"/>
        <w:jc w:val="both"/>
        <w:rPr>
          <w:rFonts w:ascii="Garamond" w:hAnsi="Garamond"/>
        </w:rPr>
      </w:pPr>
    </w:p>
    <w:p w14:paraId="0540A844" w14:textId="77777777" w:rsidR="004540AE" w:rsidRDefault="004540AE" w:rsidP="004540AE">
      <w:pPr>
        <w:rPr>
          <w:rFonts w:ascii="Garamond" w:hAnsi="Garamond"/>
        </w:rPr>
      </w:pPr>
    </w:p>
    <w:p w14:paraId="1C83ED3B" w14:textId="77777777" w:rsidR="004540AE" w:rsidRDefault="004540AE" w:rsidP="004540AE">
      <w:pPr>
        <w:spacing w:after="0"/>
        <w:rPr>
          <w:rFonts w:ascii="Garamond" w:hAnsi="Garamond"/>
        </w:rPr>
      </w:pPr>
    </w:p>
    <w:p w14:paraId="0C30B093" w14:textId="77777777" w:rsidR="004540AE" w:rsidRPr="00CA7724" w:rsidRDefault="004540AE" w:rsidP="004540AE">
      <w:pPr>
        <w:spacing w:after="0"/>
        <w:rPr>
          <w:rFonts w:ascii="Garamond" w:hAnsi="Garamond"/>
        </w:rPr>
      </w:pPr>
      <w:r w:rsidRPr="00CA7724">
        <w:rPr>
          <w:rFonts w:ascii="Garamond" w:hAnsi="Garamond"/>
        </w:rPr>
        <w:lastRenderedPageBreak/>
        <w:t>Table 1: Descriptive Statistics (N = 13,268)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3"/>
        <w:gridCol w:w="929"/>
        <w:gridCol w:w="713"/>
        <w:gridCol w:w="798"/>
        <w:gridCol w:w="840"/>
      </w:tblGrid>
      <w:tr w:rsidR="004540AE" w:rsidRPr="004C65DE" w14:paraId="64C69DFE" w14:textId="77777777" w:rsidTr="00342BAA">
        <w:tc>
          <w:tcPr>
            <w:tcW w:w="0" w:type="auto"/>
            <w:tcBorders>
              <w:top w:val="double" w:sz="4" w:space="0" w:color="auto"/>
              <w:bottom w:val="single" w:sz="4" w:space="0" w:color="auto"/>
            </w:tcBorders>
          </w:tcPr>
          <w:p w14:paraId="42F2BD76" w14:textId="77777777" w:rsidR="004540AE" w:rsidRPr="003A441E" w:rsidRDefault="004540AE" w:rsidP="00342BAA">
            <w:pPr>
              <w:jc w:val="right"/>
              <w:rPr>
                <w:rFonts w:ascii="Garamond" w:hAnsi="Garamond"/>
                <w:b/>
                <w:bCs/>
                <w:sz w:val="22"/>
                <w:szCs w:val="22"/>
              </w:rPr>
            </w:pPr>
            <w:r w:rsidRPr="003A441E">
              <w:rPr>
                <w:rFonts w:ascii="Garamond" w:hAnsi="Garamond"/>
                <w:b/>
                <w:bCs/>
                <w:sz w:val="22"/>
                <w:szCs w:val="22"/>
              </w:rPr>
              <w:t>Variable</w:t>
            </w:r>
          </w:p>
        </w:tc>
        <w:tc>
          <w:tcPr>
            <w:tcW w:w="0" w:type="auto"/>
            <w:tcBorders>
              <w:top w:val="double" w:sz="4" w:space="0" w:color="auto"/>
              <w:bottom w:val="single" w:sz="4" w:space="0" w:color="auto"/>
            </w:tcBorders>
          </w:tcPr>
          <w:p w14:paraId="755B2B56" w14:textId="77777777" w:rsidR="004540AE" w:rsidRPr="003A441E" w:rsidRDefault="004540AE" w:rsidP="00342BAA">
            <w:pPr>
              <w:jc w:val="center"/>
              <w:rPr>
                <w:rFonts w:ascii="Garamond" w:hAnsi="Garamond"/>
                <w:b/>
                <w:bCs/>
                <w:sz w:val="22"/>
                <w:szCs w:val="22"/>
              </w:rPr>
            </w:pPr>
            <w:r w:rsidRPr="003A441E">
              <w:rPr>
                <w:rFonts w:ascii="Garamond" w:hAnsi="Garamond"/>
                <w:b/>
                <w:bCs/>
                <w:sz w:val="22"/>
                <w:szCs w:val="22"/>
              </w:rPr>
              <w:t>Mean</w:t>
            </w:r>
          </w:p>
        </w:tc>
        <w:tc>
          <w:tcPr>
            <w:tcW w:w="0" w:type="auto"/>
            <w:tcBorders>
              <w:top w:val="double" w:sz="4" w:space="0" w:color="auto"/>
              <w:bottom w:val="single" w:sz="4" w:space="0" w:color="auto"/>
            </w:tcBorders>
          </w:tcPr>
          <w:p w14:paraId="459A696B" w14:textId="77777777" w:rsidR="004540AE" w:rsidRPr="003A441E" w:rsidRDefault="004540AE" w:rsidP="00342BAA">
            <w:pPr>
              <w:jc w:val="center"/>
              <w:rPr>
                <w:rFonts w:ascii="Garamond" w:hAnsi="Garamond"/>
                <w:b/>
                <w:bCs/>
                <w:sz w:val="22"/>
                <w:szCs w:val="22"/>
              </w:rPr>
            </w:pPr>
            <w:r w:rsidRPr="003A441E">
              <w:rPr>
                <w:rFonts w:ascii="Garamond" w:hAnsi="Garamond"/>
                <w:b/>
                <w:bCs/>
                <w:sz w:val="22"/>
                <w:szCs w:val="22"/>
              </w:rPr>
              <w:t>Std</w:t>
            </w:r>
          </w:p>
        </w:tc>
        <w:tc>
          <w:tcPr>
            <w:tcW w:w="0" w:type="auto"/>
            <w:tcBorders>
              <w:top w:val="double" w:sz="4" w:space="0" w:color="auto"/>
              <w:bottom w:val="single" w:sz="4" w:space="0" w:color="auto"/>
            </w:tcBorders>
          </w:tcPr>
          <w:p w14:paraId="4FCB0C5B" w14:textId="77777777" w:rsidR="004540AE" w:rsidRPr="003A441E" w:rsidRDefault="004540AE" w:rsidP="00342BAA">
            <w:pPr>
              <w:rPr>
                <w:rFonts w:ascii="Garamond" w:hAnsi="Garamond"/>
                <w:b/>
                <w:bCs/>
                <w:sz w:val="22"/>
                <w:szCs w:val="22"/>
              </w:rPr>
            </w:pPr>
            <w:r w:rsidRPr="003A441E">
              <w:rPr>
                <w:rFonts w:ascii="Garamond" w:hAnsi="Garamond"/>
                <w:b/>
                <w:bCs/>
                <w:sz w:val="22"/>
                <w:szCs w:val="22"/>
              </w:rPr>
              <w:t>Min</w:t>
            </w:r>
          </w:p>
        </w:tc>
        <w:tc>
          <w:tcPr>
            <w:tcW w:w="0" w:type="auto"/>
            <w:tcBorders>
              <w:top w:val="double" w:sz="4" w:space="0" w:color="auto"/>
              <w:bottom w:val="single" w:sz="4" w:space="0" w:color="auto"/>
            </w:tcBorders>
          </w:tcPr>
          <w:p w14:paraId="3BA5DAC5" w14:textId="77777777" w:rsidR="004540AE" w:rsidRPr="003A441E" w:rsidRDefault="004540AE" w:rsidP="00342BAA">
            <w:pPr>
              <w:jc w:val="center"/>
              <w:rPr>
                <w:rFonts w:ascii="Garamond" w:hAnsi="Garamond"/>
                <w:b/>
                <w:bCs/>
                <w:sz w:val="22"/>
                <w:szCs w:val="22"/>
              </w:rPr>
            </w:pPr>
            <w:r w:rsidRPr="003A441E">
              <w:rPr>
                <w:rFonts w:ascii="Garamond" w:hAnsi="Garamond"/>
                <w:b/>
                <w:bCs/>
                <w:sz w:val="22"/>
                <w:szCs w:val="22"/>
              </w:rPr>
              <w:t>Max</w:t>
            </w:r>
          </w:p>
        </w:tc>
      </w:tr>
      <w:tr w:rsidR="004540AE" w:rsidRPr="004C65DE" w14:paraId="0A01D55B" w14:textId="77777777" w:rsidTr="00342BAA">
        <w:tc>
          <w:tcPr>
            <w:tcW w:w="0" w:type="auto"/>
            <w:tcBorders>
              <w:top w:val="single" w:sz="4" w:space="0" w:color="auto"/>
            </w:tcBorders>
          </w:tcPr>
          <w:p w14:paraId="32A7FEBA" w14:textId="77777777" w:rsidR="004540AE" w:rsidRPr="004C65DE" w:rsidRDefault="004540AE" w:rsidP="00342BAA">
            <w:pPr>
              <w:jc w:val="right"/>
              <w:rPr>
                <w:rFonts w:ascii="Garamond" w:hAnsi="Garamond"/>
                <w:sz w:val="22"/>
                <w:szCs w:val="22"/>
              </w:rPr>
            </w:pPr>
            <w:r w:rsidRPr="004C65DE">
              <w:rPr>
                <w:rFonts w:ascii="Garamond" w:hAnsi="Garamond"/>
                <w:sz w:val="22"/>
                <w:szCs w:val="22"/>
              </w:rPr>
              <w:t>Homicide Count</w:t>
            </w:r>
          </w:p>
        </w:tc>
        <w:tc>
          <w:tcPr>
            <w:tcW w:w="0" w:type="auto"/>
            <w:tcBorders>
              <w:top w:val="single" w:sz="4" w:space="0" w:color="auto"/>
            </w:tcBorders>
          </w:tcPr>
          <w:p w14:paraId="71E3FD29" w14:textId="77777777" w:rsidR="004540AE" w:rsidRPr="004C65DE" w:rsidRDefault="004540AE" w:rsidP="00342BAA">
            <w:pPr>
              <w:jc w:val="right"/>
              <w:rPr>
                <w:rFonts w:ascii="Garamond" w:hAnsi="Garamond"/>
                <w:sz w:val="22"/>
                <w:szCs w:val="22"/>
              </w:rPr>
            </w:pPr>
            <w:r>
              <w:rPr>
                <w:rFonts w:ascii="Garamond" w:hAnsi="Garamond"/>
                <w:sz w:val="22"/>
                <w:szCs w:val="22"/>
              </w:rPr>
              <w:t>2.12</w:t>
            </w:r>
          </w:p>
        </w:tc>
        <w:tc>
          <w:tcPr>
            <w:tcW w:w="0" w:type="auto"/>
            <w:tcBorders>
              <w:top w:val="single" w:sz="4" w:space="0" w:color="auto"/>
            </w:tcBorders>
          </w:tcPr>
          <w:p w14:paraId="5273F4B2" w14:textId="77777777" w:rsidR="004540AE" w:rsidRPr="004C65DE" w:rsidRDefault="004540AE" w:rsidP="00342BAA">
            <w:pPr>
              <w:jc w:val="right"/>
              <w:rPr>
                <w:rFonts w:ascii="Garamond" w:hAnsi="Garamond"/>
                <w:sz w:val="22"/>
                <w:szCs w:val="22"/>
              </w:rPr>
            </w:pPr>
            <w:r>
              <w:rPr>
                <w:rFonts w:ascii="Garamond" w:hAnsi="Garamond"/>
                <w:sz w:val="22"/>
                <w:szCs w:val="22"/>
              </w:rPr>
              <w:t>3.60</w:t>
            </w:r>
          </w:p>
        </w:tc>
        <w:tc>
          <w:tcPr>
            <w:tcW w:w="0" w:type="auto"/>
            <w:tcBorders>
              <w:top w:val="single" w:sz="4" w:space="0" w:color="auto"/>
            </w:tcBorders>
          </w:tcPr>
          <w:p w14:paraId="457F3298"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Borders>
              <w:top w:val="single" w:sz="4" w:space="0" w:color="auto"/>
            </w:tcBorders>
          </w:tcPr>
          <w:p w14:paraId="3BC4DA92" w14:textId="77777777" w:rsidR="004540AE" w:rsidRPr="004C65DE" w:rsidRDefault="004540AE" w:rsidP="00342BAA">
            <w:pPr>
              <w:jc w:val="right"/>
              <w:rPr>
                <w:rFonts w:ascii="Garamond" w:hAnsi="Garamond"/>
                <w:sz w:val="22"/>
                <w:szCs w:val="22"/>
              </w:rPr>
            </w:pPr>
            <w:r>
              <w:rPr>
                <w:rFonts w:ascii="Garamond" w:hAnsi="Garamond"/>
                <w:sz w:val="22"/>
                <w:szCs w:val="22"/>
              </w:rPr>
              <w:t>76.92</w:t>
            </w:r>
          </w:p>
        </w:tc>
      </w:tr>
      <w:tr w:rsidR="004540AE" w:rsidRPr="004C65DE" w14:paraId="78781D7F" w14:textId="77777777" w:rsidTr="00342BAA">
        <w:tc>
          <w:tcPr>
            <w:tcW w:w="0" w:type="auto"/>
          </w:tcPr>
          <w:p w14:paraId="0362AE06" w14:textId="77777777" w:rsidR="004540AE" w:rsidRPr="004C65DE" w:rsidRDefault="004540AE" w:rsidP="00342BAA">
            <w:pPr>
              <w:jc w:val="right"/>
              <w:rPr>
                <w:rFonts w:ascii="Garamond" w:hAnsi="Garamond"/>
                <w:sz w:val="22"/>
                <w:szCs w:val="22"/>
              </w:rPr>
            </w:pPr>
            <w:r w:rsidRPr="004C65DE">
              <w:rPr>
                <w:rFonts w:ascii="Garamond" w:hAnsi="Garamond"/>
                <w:sz w:val="22"/>
                <w:szCs w:val="22"/>
              </w:rPr>
              <w:t>Homicide Rate</w:t>
            </w:r>
            <w:r>
              <w:rPr>
                <w:rFonts w:ascii="Garamond" w:hAnsi="Garamond"/>
                <w:sz w:val="22"/>
                <w:szCs w:val="22"/>
              </w:rPr>
              <w:t xml:space="preserve"> (per 1,000)</w:t>
            </w:r>
          </w:p>
        </w:tc>
        <w:tc>
          <w:tcPr>
            <w:tcW w:w="0" w:type="auto"/>
          </w:tcPr>
          <w:p w14:paraId="7BBAC4DD" w14:textId="77777777" w:rsidR="004540AE" w:rsidRPr="004C65DE" w:rsidRDefault="004540AE" w:rsidP="00342BAA">
            <w:pPr>
              <w:jc w:val="right"/>
              <w:rPr>
                <w:rFonts w:ascii="Garamond" w:hAnsi="Garamond"/>
                <w:sz w:val="22"/>
                <w:szCs w:val="22"/>
              </w:rPr>
            </w:pPr>
            <w:r>
              <w:rPr>
                <w:rFonts w:ascii="Garamond" w:hAnsi="Garamond"/>
                <w:sz w:val="22"/>
                <w:szCs w:val="22"/>
              </w:rPr>
              <w:t>0.76</w:t>
            </w:r>
          </w:p>
        </w:tc>
        <w:tc>
          <w:tcPr>
            <w:tcW w:w="0" w:type="auto"/>
          </w:tcPr>
          <w:p w14:paraId="471F4453" w14:textId="77777777" w:rsidR="004540AE" w:rsidRPr="004C65DE" w:rsidRDefault="004540AE" w:rsidP="00342BAA">
            <w:pPr>
              <w:jc w:val="right"/>
              <w:rPr>
                <w:rFonts w:ascii="Garamond" w:hAnsi="Garamond"/>
                <w:sz w:val="22"/>
                <w:szCs w:val="22"/>
              </w:rPr>
            </w:pPr>
            <w:r>
              <w:rPr>
                <w:rFonts w:ascii="Garamond" w:hAnsi="Garamond"/>
                <w:sz w:val="22"/>
                <w:szCs w:val="22"/>
              </w:rPr>
              <w:t>1.74</w:t>
            </w:r>
          </w:p>
        </w:tc>
        <w:tc>
          <w:tcPr>
            <w:tcW w:w="0" w:type="auto"/>
          </w:tcPr>
          <w:p w14:paraId="158D0FAD"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Pr>
          <w:p w14:paraId="5F9F2C6C" w14:textId="77777777" w:rsidR="004540AE" w:rsidRPr="004C65DE" w:rsidRDefault="004540AE" w:rsidP="00342BAA">
            <w:pPr>
              <w:jc w:val="right"/>
              <w:rPr>
                <w:rFonts w:ascii="Garamond" w:hAnsi="Garamond"/>
                <w:sz w:val="22"/>
                <w:szCs w:val="22"/>
              </w:rPr>
            </w:pPr>
            <w:r>
              <w:rPr>
                <w:rFonts w:ascii="Garamond" w:hAnsi="Garamond"/>
                <w:sz w:val="22"/>
                <w:szCs w:val="22"/>
              </w:rPr>
              <w:t>47.00</w:t>
            </w:r>
          </w:p>
        </w:tc>
      </w:tr>
      <w:tr w:rsidR="004540AE" w:rsidRPr="004C65DE" w14:paraId="76F6A973" w14:textId="77777777" w:rsidTr="00342BAA">
        <w:tc>
          <w:tcPr>
            <w:tcW w:w="0" w:type="auto"/>
          </w:tcPr>
          <w:p w14:paraId="3310916A" w14:textId="77777777" w:rsidR="004540AE" w:rsidRPr="004C65DE" w:rsidRDefault="004540AE" w:rsidP="00342BAA">
            <w:pPr>
              <w:rPr>
                <w:rFonts w:ascii="Garamond" w:hAnsi="Garamond"/>
                <w:sz w:val="22"/>
                <w:szCs w:val="22"/>
              </w:rPr>
            </w:pPr>
          </w:p>
        </w:tc>
        <w:tc>
          <w:tcPr>
            <w:tcW w:w="0" w:type="auto"/>
          </w:tcPr>
          <w:p w14:paraId="1DA76827" w14:textId="77777777" w:rsidR="004540AE" w:rsidRPr="004C65DE" w:rsidRDefault="004540AE" w:rsidP="00342BAA">
            <w:pPr>
              <w:rPr>
                <w:rFonts w:ascii="Garamond" w:hAnsi="Garamond"/>
                <w:sz w:val="22"/>
                <w:szCs w:val="22"/>
              </w:rPr>
            </w:pPr>
          </w:p>
        </w:tc>
        <w:tc>
          <w:tcPr>
            <w:tcW w:w="0" w:type="auto"/>
          </w:tcPr>
          <w:p w14:paraId="3A534F13" w14:textId="77777777" w:rsidR="004540AE" w:rsidRPr="004C65DE" w:rsidRDefault="004540AE" w:rsidP="00342BAA">
            <w:pPr>
              <w:rPr>
                <w:rFonts w:ascii="Garamond" w:hAnsi="Garamond"/>
                <w:sz w:val="22"/>
                <w:szCs w:val="22"/>
              </w:rPr>
            </w:pPr>
          </w:p>
        </w:tc>
        <w:tc>
          <w:tcPr>
            <w:tcW w:w="0" w:type="auto"/>
          </w:tcPr>
          <w:p w14:paraId="290D5A81" w14:textId="77777777" w:rsidR="004540AE" w:rsidRPr="004C65DE" w:rsidRDefault="004540AE" w:rsidP="00342BAA">
            <w:pPr>
              <w:rPr>
                <w:rFonts w:ascii="Garamond" w:hAnsi="Garamond"/>
                <w:sz w:val="22"/>
                <w:szCs w:val="22"/>
              </w:rPr>
            </w:pPr>
          </w:p>
        </w:tc>
        <w:tc>
          <w:tcPr>
            <w:tcW w:w="0" w:type="auto"/>
          </w:tcPr>
          <w:p w14:paraId="0055CF19" w14:textId="77777777" w:rsidR="004540AE" w:rsidRPr="004C65DE" w:rsidRDefault="004540AE" w:rsidP="00342BAA">
            <w:pPr>
              <w:rPr>
                <w:rFonts w:ascii="Garamond" w:hAnsi="Garamond"/>
                <w:sz w:val="22"/>
                <w:szCs w:val="22"/>
              </w:rPr>
            </w:pPr>
          </w:p>
        </w:tc>
      </w:tr>
      <w:tr w:rsidR="004540AE" w:rsidRPr="004C65DE" w14:paraId="23DD425E" w14:textId="77777777" w:rsidTr="00342BAA">
        <w:tc>
          <w:tcPr>
            <w:tcW w:w="0" w:type="auto"/>
          </w:tcPr>
          <w:p w14:paraId="6FCFA9E5" w14:textId="77777777" w:rsidR="004540AE" w:rsidRPr="004C65DE" w:rsidRDefault="004540AE" w:rsidP="00342BAA">
            <w:pPr>
              <w:jc w:val="right"/>
              <w:rPr>
                <w:rFonts w:ascii="Garamond" w:hAnsi="Garamond"/>
                <w:b/>
                <w:bCs/>
                <w:sz w:val="22"/>
                <w:szCs w:val="22"/>
              </w:rPr>
            </w:pPr>
            <w:r w:rsidRPr="004C65DE">
              <w:rPr>
                <w:rFonts w:ascii="Garamond" w:hAnsi="Garamond"/>
                <w:b/>
                <w:bCs/>
                <w:sz w:val="22"/>
                <w:szCs w:val="22"/>
              </w:rPr>
              <w:t>Social Vulnerability Index</w:t>
            </w:r>
          </w:p>
        </w:tc>
        <w:tc>
          <w:tcPr>
            <w:tcW w:w="0" w:type="auto"/>
          </w:tcPr>
          <w:p w14:paraId="0CB5ADDB" w14:textId="77777777" w:rsidR="004540AE" w:rsidRPr="004C65DE" w:rsidRDefault="004540AE" w:rsidP="00342BAA">
            <w:pPr>
              <w:rPr>
                <w:rFonts w:ascii="Garamond" w:hAnsi="Garamond"/>
                <w:sz w:val="22"/>
                <w:szCs w:val="22"/>
              </w:rPr>
            </w:pPr>
          </w:p>
        </w:tc>
        <w:tc>
          <w:tcPr>
            <w:tcW w:w="0" w:type="auto"/>
          </w:tcPr>
          <w:p w14:paraId="30DB612F" w14:textId="77777777" w:rsidR="004540AE" w:rsidRPr="004C65DE" w:rsidRDefault="004540AE" w:rsidP="00342BAA">
            <w:pPr>
              <w:rPr>
                <w:rFonts w:ascii="Garamond" w:hAnsi="Garamond"/>
                <w:sz w:val="22"/>
                <w:szCs w:val="22"/>
              </w:rPr>
            </w:pPr>
          </w:p>
        </w:tc>
        <w:tc>
          <w:tcPr>
            <w:tcW w:w="0" w:type="auto"/>
          </w:tcPr>
          <w:p w14:paraId="6B2C0B82" w14:textId="77777777" w:rsidR="004540AE" w:rsidRPr="004C65DE" w:rsidRDefault="004540AE" w:rsidP="00342BAA">
            <w:pPr>
              <w:rPr>
                <w:rFonts w:ascii="Garamond" w:hAnsi="Garamond"/>
                <w:sz w:val="22"/>
                <w:szCs w:val="22"/>
              </w:rPr>
            </w:pPr>
          </w:p>
        </w:tc>
        <w:tc>
          <w:tcPr>
            <w:tcW w:w="0" w:type="auto"/>
          </w:tcPr>
          <w:p w14:paraId="13C2665A" w14:textId="77777777" w:rsidR="004540AE" w:rsidRPr="004C65DE" w:rsidRDefault="004540AE" w:rsidP="00342BAA">
            <w:pPr>
              <w:rPr>
                <w:rFonts w:ascii="Garamond" w:hAnsi="Garamond"/>
                <w:sz w:val="22"/>
                <w:szCs w:val="22"/>
              </w:rPr>
            </w:pPr>
          </w:p>
        </w:tc>
      </w:tr>
      <w:tr w:rsidR="004540AE" w:rsidRPr="004C65DE" w14:paraId="3BA43365" w14:textId="77777777" w:rsidTr="00342BAA">
        <w:tc>
          <w:tcPr>
            <w:tcW w:w="0" w:type="auto"/>
          </w:tcPr>
          <w:p w14:paraId="7A47E869" w14:textId="77777777" w:rsidR="004540AE" w:rsidRPr="004C65DE" w:rsidRDefault="004540AE" w:rsidP="00342BAA">
            <w:pPr>
              <w:jc w:val="right"/>
              <w:rPr>
                <w:rFonts w:ascii="Garamond" w:hAnsi="Garamond"/>
                <w:sz w:val="22"/>
                <w:szCs w:val="22"/>
              </w:rPr>
            </w:pPr>
            <w:r w:rsidRPr="004C65DE">
              <w:rPr>
                <w:rFonts w:ascii="Garamond" w:hAnsi="Garamond"/>
                <w:sz w:val="22"/>
                <w:szCs w:val="22"/>
              </w:rPr>
              <w:t>Composite</w:t>
            </w:r>
          </w:p>
        </w:tc>
        <w:tc>
          <w:tcPr>
            <w:tcW w:w="0" w:type="auto"/>
          </w:tcPr>
          <w:p w14:paraId="33AC034D" w14:textId="77777777" w:rsidR="004540AE" w:rsidRPr="004C65DE" w:rsidRDefault="004540AE" w:rsidP="00342BAA">
            <w:pPr>
              <w:jc w:val="right"/>
              <w:rPr>
                <w:rFonts w:ascii="Garamond" w:hAnsi="Garamond"/>
                <w:sz w:val="22"/>
                <w:szCs w:val="22"/>
              </w:rPr>
            </w:pPr>
            <w:r>
              <w:rPr>
                <w:rFonts w:ascii="Garamond" w:hAnsi="Garamond"/>
                <w:sz w:val="22"/>
                <w:szCs w:val="22"/>
              </w:rPr>
              <w:t>0.63</w:t>
            </w:r>
          </w:p>
        </w:tc>
        <w:tc>
          <w:tcPr>
            <w:tcW w:w="0" w:type="auto"/>
          </w:tcPr>
          <w:p w14:paraId="69075DE3" w14:textId="77777777" w:rsidR="004540AE" w:rsidRPr="004C65DE" w:rsidRDefault="004540AE" w:rsidP="00342BAA">
            <w:pPr>
              <w:jc w:val="right"/>
              <w:rPr>
                <w:rFonts w:ascii="Garamond" w:hAnsi="Garamond"/>
                <w:sz w:val="22"/>
                <w:szCs w:val="22"/>
              </w:rPr>
            </w:pPr>
            <w:r>
              <w:rPr>
                <w:rFonts w:ascii="Garamond" w:hAnsi="Garamond"/>
                <w:sz w:val="22"/>
                <w:szCs w:val="22"/>
              </w:rPr>
              <w:t>0.29</w:t>
            </w:r>
          </w:p>
        </w:tc>
        <w:tc>
          <w:tcPr>
            <w:tcW w:w="0" w:type="auto"/>
          </w:tcPr>
          <w:p w14:paraId="5AA9C127"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Pr>
          <w:p w14:paraId="3D63E064" w14:textId="77777777" w:rsidR="004540AE" w:rsidRPr="004C65DE" w:rsidRDefault="004540AE" w:rsidP="00342BAA">
            <w:pPr>
              <w:jc w:val="right"/>
              <w:rPr>
                <w:rFonts w:ascii="Garamond" w:hAnsi="Garamond"/>
                <w:sz w:val="22"/>
                <w:szCs w:val="22"/>
              </w:rPr>
            </w:pPr>
            <w:r>
              <w:rPr>
                <w:rFonts w:ascii="Garamond" w:hAnsi="Garamond"/>
                <w:sz w:val="22"/>
                <w:szCs w:val="22"/>
              </w:rPr>
              <w:t>1.00</w:t>
            </w:r>
          </w:p>
        </w:tc>
      </w:tr>
      <w:tr w:rsidR="004540AE" w:rsidRPr="004C65DE" w14:paraId="093C3C7A" w14:textId="77777777" w:rsidTr="00342BAA">
        <w:tc>
          <w:tcPr>
            <w:tcW w:w="0" w:type="auto"/>
          </w:tcPr>
          <w:p w14:paraId="25548614" w14:textId="77777777" w:rsidR="004540AE" w:rsidRPr="004C65DE" w:rsidRDefault="004540AE" w:rsidP="00342BAA">
            <w:pPr>
              <w:jc w:val="right"/>
              <w:rPr>
                <w:rFonts w:ascii="Garamond" w:hAnsi="Garamond"/>
                <w:sz w:val="22"/>
                <w:szCs w:val="22"/>
              </w:rPr>
            </w:pPr>
            <w:r w:rsidRPr="004C65DE">
              <w:rPr>
                <w:rFonts w:ascii="Garamond" w:hAnsi="Garamond"/>
                <w:sz w:val="22"/>
                <w:szCs w:val="22"/>
              </w:rPr>
              <w:t>Theme 1 – SES</w:t>
            </w:r>
          </w:p>
        </w:tc>
        <w:tc>
          <w:tcPr>
            <w:tcW w:w="0" w:type="auto"/>
          </w:tcPr>
          <w:p w14:paraId="36A885AF" w14:textId="77777777" w:rsidR="004540AE" w:rsidRPr="004C65DE" w:rsidRDefault="004540AE" w:rsidP="00342BAA">
            <w:pPr>
              <w:jc w:val="right"/>
              <w:rPr>
                <w:rFonts w:ascii="Garamond" w:hAnsi="Garamond"/>
                <w:sz w:val="22"/>
                <w:szCs w:val="22"/>
              </w:rPr>
            </w:pPr>
            <w:r>
              <w:rPr>
                <w:rFonts w:ascii="Garamond" w:hAnsi="Garamond"/>
                <w:sz w:val="22"/>
                <w:szCs w:val="22"/>
              </w:rPr>
              <w:t>0.63</w:t>
            </w:r>
          </w:p>
        </w:tc>
        <w:tc>
          <w:tcPr>
            <w:tcW w:w="0" w:type="auto"/>
          </w:tcPr>
          <w:p w14:paraId="7A1D4AEF" w14:textId="77777777" w:rsidR="004540AE" w:rsidRPr="004C65DE" w:rsidRDefault="004540AE" w:rsidP="00342BAA">
            <w:pPr>
              <w:jc w:val="right"/>
              <w:rPr>
                <w:rFonts w:ascii="Garamond" w:hAnsi="Garamond"/>
                <w:sz w:val="22"/>
                <w:szCs w:val="22"/>
              </w:rPr>
            </w:pPr>
            <w:r>
              <w:rPr>
                <w:rFonts w:ascii="Garamond" w:hAnsi="Garamond"/>
                <w:sz w:val="22"/>
                <w:szCs w:val="22"/>
              </w:rPr>
              <w:t>0.30</w:t>
            </w:r>
          </w:p>
        </w:tc>
        <w:tc>
          <w:tcPr>
            <w:tcW w:w="0" w:type="auto"/>
          </w:tcPr>
          <w:p w14:paraId="50D0B426" w14:textId="77777777" w:rsidR="004540AE" w:rsidRPr="004C65DE" w:rsidRDefault="004540AE" w:rsidP="00342BAA">
            <w:pPr>
              <w:jc w:val="right"/>
              <w:rPr>
                <w:rFonts w:ascii="Garamond" w:hAnsi="Garamond"/>
                <w:sz w:val="22"/>
                <w:szCs w:val="22"/>
              </w:rPr>
            </w:pPr>
            <w:r w:rsidRPr="00BF5CB8">
              <w:rPr>
                <w:rFonts w:ascii="Garamond" w:hAnsi="Garamond"/>
                <w:sz w:val="22"/>
                <w:szCs w:val="22"/>
              </w:rPr>
              <w:t>0.00</w:t>
            </w:r>
          </w:p>
        </w:tc>
        <w:tc>
          <w:tcPr>
            <w:tcW w:w="0" w:type="auto"/>
          </w:tcPr>
          <w:p w14:paraId="719C036C" w14:textId="77777777" w:rsidR="004540AE" w:rsidRPr="004C65DE" w:rsidRDefault="004540AE" w:rsidP="00342BAA">
            <w:pPr>
              <w:jc w:val="right"/>
              <w:rPr>
                <w:rFonts w:ascii="Garamond" w:hAnsi="Garamond"/>
                <w:sz w:val="22"/>
                <w:szCs w:val="22"/>
              </w:rPr>
            </w:pPr>
            <w:r w:rsidRPr="001E5B7D">
              <w:rPr>
                <w:rFonts w:ascii="Garamond" w:hAnsi="Garamond"/>
                <w:sz w:val="22"/>
                <w:szCs w:val="22"/>
              </w:rPr>
              <w:t>1.00</w:t>
            </w:r>
          </w:p>
        </w:tc>
      </w:tr>
      <w:tr w:rsidR="004540AE" w:rsidRPr="004C65DE" w14:paraId="03259A75" w14:textId="77777777" w:rsidTr="00342BAA">
        <w:tc>
          <w:tcPr>
            <w:tcW w:w="0" w:type="auto"/>
          </w:tcPr>
          <w:p w14:paraId="66E8B9B5" w14:textId="77777777" w:rsidR="004540AE" w:rsidRPr="004C65DE" w:rsidRDefault="004540AE" w:rsidP="00342BAA">
            <w:pPr>
              <w:jc w:val="right"/>
              <w:rPr>
                <w:rFonts w:ascii="Garamond" w:hAnsi="Garamond"/>
                <w:sz w:val="22"/>
                <w:szCs w:val="22"/>
              </w:rPr>
            </w:pPr>
            <w:r w:rsidRPr="004C65DE">
              <w:rPr>
                <w:rFonts w:ascii="Garamond" w:hAnsi="Garamond"/>
                <w:sz w:val="22"/>
                <w:szCs w:val="22"/>
              </w:rPr>
              <w:t xml:space="preserve">Theme 2 – Households </w:t>
            </w:r>
          </w:p>
        </w:tc>
        <w:tc>
          <w:tcPr>
            <w:tcW w:w="0" w:type="auto"/>
          </w:tcPr>
          <w:p w14:paraId="09294719" w14:textId="77777777" w:rsidR="004540AE" w:rsidRPr="004C65DE" w:rsidRDefault="004540AE" w:rsidP="00342BAA">
            <w:pPr>
              <w:jc w:val="right"/>
              <w:rPr>
                <w:rFonts w:ascii="Garamond" w:hAnsi="Garamond"/>
                <w:sz w:val="22"/>
                <w:szCs w:val="22"/>
              </w:rPr>
            </w:pPr>
            <w:r>
              <w:rPr>
                <w:rFonts w:ascii="Garamond" w:hAnsi="Garamond"/>
                <w:sz w:val="22"/>
                <w:szCs w:val="22"/>
              </w:rPr>
              <w:t>0.52</w:t>
            </w:r>
          </w:p>
        </w:tc>
        <w:tc>
          <w:tcPr>
            <w:tcW w:w="0" w:type="auto"/>
          </w:tcPr>
          <w:p w14:paraId="0F99449B" w14:textId="77777777" w:rsidR="004540AE" w:rsidRPr="004C65DE" w:rsidRDefault="004540AE" w:rsidP="00342BAA">
            <w:pPr>
              <w:jc w:val="right"/>
              <w:rPr>
                <w:rFonts w:ascii="Garamond" w:hAnsi="Garamond"/>
                <w:sz w:val="22"/>
                <w:szCs w:val="22"/>
              </w:rPr>
            </w:pPr>
            <w:r>
              <w:rPr>
                <w:rFonts w:ascii="Garamond" w:hAnsi="Garamond"/>
                <w:sz w:val="22"/>
                <w:szCs w:val="22"/>
              </w:rPr>
              <w:t>0.33</w:t>
            </w:r>
          </w:p>
        </w:tc>
        <w:tc>
          <w:tcPr>
            <w:tcW w:w="0" w:type="auto"/>
          </w:tcPr>
          <w:p w14:paraId="05E99C78" w14:textId="77777777" w:rsidR="004540AE" w:rsidRPr="004C65DE" w:rsidRDefault="004540AE" w:rsidP="00342BAA">
            <w:pPr>
              <w:jc w:val="right"/>
              <w:rPr>
                <w:rFonts w:ascii="Garamond" w:hAnsi="Garamond"/>
                <w:sz w:val="22"/>
                <w:szCs w:val="22"/>
              </w:rPr>
            </w:pPr>
            <w:r w:rsidRPr="00BF5CB8">
              <w:rPr>
                <w:rFonts w:ascii="Garamond" w:hAnsi="Garamond"/>
                <w:sz w:val="22"/>
                <w:szCs w:val="22"/>
              </w:rPr>
              <w:t>0.00</w:t>
            </w:r>
          </w:p>
        </w:tc>
        <w:tc>
          <w:tcPr>
            <w:tcW w:w="0" w:type="auto"/>
          </w:tcPr>
          <w:p w14:paraId="6E2456DF" w14:textId="77777777" w:rsidR="004540AE" w:rsidRPr="004C65DE" w:rsidRDefault="004540AE" w:rsidP="00342BAA">
            <w:pPr>
              <w:jc w:val="right"/>
              <w:rPr>
                <w:rFonts w:ascii="Garamond" w:hAnsi="Garamond"/>
                <w:sz w:val="22"/>
                <w:szCs w:val="22"/>
              </w:rPr>
            </w:pPr>
            <w:r w:rsidRPr="001E5B7D">
              <w:rPr>
                <w:rFonts w:ascii="Garamond" w:hAnsi="Garamond"/>
                <w:sz w:val="22"/>
                <w:szCs w:val="22"/>
              </w:rPr>
              <w:t>1.00</w:t>
            </w:r>
          </w:p>
        </w:tc>
      </w:tr>
      <w:tr w:rsidR="004540AE" w:rsidRPr="004C65DE" w14:paraId="1FE91441" w14:textId="77777777" w:rsidTr="00342BAA">
        <w:tc>
          <w:tcPr>
            <w:tcW w:w="0" w:type="auto"/>
          </w:tcPr>
          <w:p w14:paraId="54A32E47" w14:textId="77777777" w:rsidR="004540AE" w:rsidRPr="004C65DE" w:rsidRDefault="004540AE" w:rsidP="00342BAA">
            <w:pPr>
              <w:jc w:val="right"/>
              <w:rPr>
                <w:rFonts w:ascii="Garamond" w:hAnsi="Garamond"/>
                <w:sz w:val="22"/>
                <w:szCs w:val="22"/>
              </w:rPr>
            </w:pPr>
            <w:r>
              <w:rPr>
                <w:rFonts w:ascii="Garamond" w:hAnsi="Garamond"/>
                <w:sz w:val="22"/>
                <w:szCs w:val="22"/>
              </w:rPr>
              <w:t xml:space="preserve">Theme </w:t>
            </w:r>
            <w:proofErr w:type="gramStart"/>
            <w:r>
              <w:rPr>
                <w:rFonts w:ascii="Garamond" w:hAnsi="Garamond"/>
                <w:sz w:val="22"/>
                <w:szCs w:val="22"/>
              </w:rPr>
              <w:t>3  -</w:t>
            </w:r>
            <w:proofErr w:type="gramEnd"/>
            <w:r>
              <w:rPr>
                <w:rFonts w:ascii="Garamond" w:hAnsi="Garamond"/>
                <w:sz w:val="22"/>
                <w:szCs w:val="22"/>
              </w:rPr>
              <w:t xml:space="preserve"> Race/Ethnicity</w:t>
            </w:r>
          </w:p>
        </w:tc>
        <w:tc>
          <w:tcPr>
            <w:tcW w:w="0" w:type="auto"/>
          </w:tcPr>
          <w:p w14:paraId="13334758" w14:textId="77777777" w:rsidR="004540AE" w:rsidRPr="004C65DE" w:rsidRDefault="004540AE" w:rsidP="00342BAA">
            <w:pPr>
              <w:jc w:val="right"/>
              <w:rPr>
                <w:rFonts w:ascii="Garamond" w:hAnsi="Garamond"/>
                <w:sz w:val="22"/>
                <w:szCs w:val="22"/>
              </w:rPr>
            </w:pPr>
            <w:r>
              <w:rPr>
                <w:rFonts w:ascii="Garamond" w:hAnsi="Garamond"/>
                <w:sz w:val="22"/>
                <w:szCs w:val="22"/>
              </w:rPr>
              <w:t>0.72</w:t>
            </w:r>
          </w:p>
        </w:tc>
        <w:tc>
          <w:tcPr>
            <w:tcW w:w="0" w:type="auto"/>
          </w:tcPr>
          <w:p w14:paraId="3144B484" w14:textId="77777777" w:rsidR="004540AE" w:rsidRPr="004C65DE" w:rsidRDefault="004540AE" w:rsidP="00342BAA">
            <w:pPr>
              <w:jc w:val="right"/>
              <w:rPr>
                <w:rFonts w:ascii="Garamond" w:hAnsi="Garamond"/>
                <w:sz w:val="22"/>
                <w:szCs w:val="22"/>
              </w:rPr>
            </w:pPr>
            <w:r>
              <w:rPr>
                <w:rFonts w:ascii="Garamond" w:hAnsi="Garamond"/>
                <w:sz w:val="22"/>
                <w:szCs w:val="22"/>
              </w:rPr>
              <w:t>0.22</w:t>
            </w:r>
          </w:p>
        </w:tc>
        <w:tc>
          <w:tcPr>
            <w:tcW w:w="0" w:type="auto"/>
          </w:tcPr>
          <w:p w14:paraId="33CDF29D" w14:textId="77777777" w:rsidR="004540AE" w:rsidRPr="004C65DE" w:rsidRDefault="004540AE" w:rsidP="00342BAA">
            <w:pPr>
              <w:jc w:val="right"/>
              <w:rPr>
                <w:rFonts w:ascii="Garamond" w:hAnsi="Garamond"/>
                <w:sz w:val="22"/>
                <w:szCs w:val="22"/>
              </w:rPr>
            </w:pPr>
            <w:r w:rsidRPr="00BF5CB8">
              <w:rPr>
                <w:rFonts w:ascii="Garamond" w:hAnsi="Garamond"/>
                <w:sz w:val="22"/>
                <w:szCs w:val="22"/>
              </w:rPr>
              <w:t>0.00</w:t>
            </w:r>
          </w:p>
        </w:tc>
        <w:tc>
          <w:tcPr>
            <w:tcW w:w="0" w:type="auto"/>
          </w:tcPr>
          <w:p w14:paraId="7EE12F86" w14:textId="77777777" w:rsidR="004540AE" w:rsidRPr="004C65DE" w:rsidRDefault="004540AE" w:rsidP="00342BAA">
            <w:pPr>
              <w:jc w:val="right"/>
              <w:rPr>
                <w:rFonts w:ascii="Garamond" w:hAnsi="Garamond"/>
                <w:sz w:val="22"/>
                <w:szCs w:val="22"/>
              </w:rPr>
            </w:pPr>
            <w:r w:rsidRPr="001E5B7D">
              <w:rPr>
                <w:rFonts w:ascii="Garamond" w:hAnsi="Garamond"/>
                <w:sz w:val="22"/>
                <w:szCs w:val="22"/>
              </w:rPr>
              <w:t>1.00</w:t>
            </w:r>
          </w:p>
        </w:tc>
      </w:tr>
      <w:tr w:rsidR="004540AE" w:rsidRPr="004C65DE" w14:paraId="5B9327C1" w14:textId="77777777" w:rsidTr="00342BAA">
        <w:tc>
          <w:tcPr>
            <w:tcW w:w="0" w:type="auto"/>
          </w:tcPr>
          <w:p w14:paraId="4BBABCBB" w14:textId="77777777" w:rsidR="004540AE" w:rsidRPr="004C65DE" w:rsidRDefault="004540AE" w:rsidP="00342BAA">
            <w:pPr>
              <w:jc w:val="right"/>
              <w:rPr>
                <w:rFonts w:ascii="Garamond" w:hAnsi="Garamond"/>
                <w:sz w:val="22"/>
                <w:szCs w:val="22"/>
              </w:rPr>
            </w:pPr>
            <w:r>
              <w:rPr>
                <w:rFonts w:ascii="Garamond" w:hAnsi="Garamond"/>
                <w:sz w:val="22"/>
                <w:szCs w:val="22"/>
              </w:rPr>
              <w:t>Theme 4 – Housing/Trans</w:t>
            </w:r>
          </w:p>
        </w:tc>
        <w:tc>
          <w:tcPr>
            <w:tcW w:w="0" w:type="auto"/>
          </w:tcPr>
          <w:p w14:paraId="55E737D6" w14:textId="77777777" w:rsidR="004540AE" w:rsidRPr="004C65DE" w:rsidRDefault="004540AE" w:rsidP="00342BAA">
            <w:pPr>
              <w:jc w:val="right"/>
              <w:rPr>
                <w:rFonts w:ascii="Garamond" w:hAnsi="Garamond"/>
                <w:sz w:val="22"/>
                <w:szCs w:val="22"/>
              </w:rPr>
            </w:pPr>
            <w:r>
              <w:rPr>
                <w:rFonts w:ascii="Garamond" w:hAnsi="Garamond"/>
                <w:sz w:val="22"/>
                <w:szCs w:val="22"/>
              </w:rPr>
              <w:t>0.60</w:t>
            </w:r>
          </w:p>
        </w:tc>
        <w:tc>
          <w:tcPr>
            <w:tcW w:w="0" w:type="auto"/>
          </w:tcPr>
          <w:p w14:paraId="2255E7C8" w14:textId="77777777" w:rsidR="004540AE" w:rsidRPr="004C65DE" w:rsidRDefault="004540AE" w:rsidP="00342BAA">
            <w:pPr>
              <w:jc w:val="right"/>
              <w:rPr>
                <w:rFonts w:ascii="Garamond" w:hAnsi="Garamond"/>
                <w:sz w:val="22"/>
                <w:szCs w:val="22"/>
              </w:rPr>
            </w:pPr>
            <w:r>
              <w:rPr>
                <w:rFonts w:ascii="Garamond" w:hAnsi="Garamond"/>
                <w:sz w:val="22"/>
                <w:szCs w:val="22"/>
              </w:rPr>
              <w:t>0.28</w:t>
            </w:r>
          </w:p>
        </w:tc>
        <w:tc>
          <w:tcPr>
            <w:tcW w:w="0" w:type="auto"/>
          </w:tcPr>
          <w:p w14:paraId="54A9B1BB" w14:textId="77777777" w:rsidR="004540AE" w:rsidRPr="004C65DE" w:rsidRDefault="004540AE" w:rsidP="00342BAA">
            <w:pPr>
              <w:jc w:val="right"/>
              <w:rPr>
                <w:rFonts w:ascii="Garamond" w:hAnsi="Garamond"/>
                <w:sz w:val="22"/>
                <w:szCs w:val="22"/>
              </w:rPr>
            </w:pPr>
            <w:r w:rsidRPr="00BF5CB8">
              <w:rPr>
                <w:rFonts w:ascii="Garamond" w:hAnsi="Garamond"/>
                <w:sz w:val="22"/>
                <w:szCs w:val="22"/>
              </w:rPr>
              <w:t>0.00</w:t>
            </w:r>
          </w:p>
        </w:tc>
        <w:tc>
          <w:tcPr>
            <w:tcW w:w="0" w:type="auto"/>
          </w:tcPr>
          <w:p w14:paraId="0D14371E" w14:textId="77777777" w:rsidR="004540AE" w:rsidRPr="004C65DE" w:rsidRDefault="004540AE" w:rsidP="00342BAA">
            <w:pPr>
              <w:jc w:val="right"/>
              <w:rPr>
                <w:rFonts w:ascii="Garamond" w:hAnsi="Garamond"/>
                <w:sz w:val="22"/>
                <w:szCs w:val="22"/>
              </w:rPr>
            </w:pPr>
            <w:r w:rsidRPr="001E5B7D">
              <w:rPr>
                <w:rFonts w:ascii="Garamond" w:hAnsi="Garamond"/>
                <w:sz w:val="22"/>
                <w:szCs w:val="22"/>
              </w:rPr>
              <w:t>1.00</w:t>
            </w:r>
          </w:p>
        </w:tc>
      </w:tr>
      <w:tr w:rsidR="004540AE" w:rsidRPr="004C65DE" w14:paraId="35DC2B0A" w14:textId="77777777" w:rsidTr="00342BAA">
        <w:tc>
          <w:tcPr>
            <w:tcW w:w="0" w:type="auto"/>
          </w:tcPr>
          <w:p w14:paraId="3768F73F" w14:textId="77777777" w:rsidR="004540AE" w:rsidRPr="004C65DE" w:rsidRDefault="004540AE" w:rsidP="00342BAA">
            <w:pPr>
              <w:jc w:val="right"/>
              <w:rPr>
                <w:rFonts w:ascii="Garamond" w:hAnsi="Garamond"/>
                <w:sz w:val="22"/>
                <w:szCs w:val="22"/>
              </w:rPr>
            </w:pPr>
          </w:p>
        </w:tc>
        <w:tc>
          <w:tcPr>
            <w:tcW w:w="0" w:type="auto"/>
          </w:tcPr>
          <w:p w14:paraId="50E20773" w14:textId="77777777" w:rsidR="004540AE" w:rsidRPr="004C65DE" w:rsidRDefault="004540AE" w:rsidP="00342BAA">
            <w:pPr>
              <w:jc w:val="right"/>
              <w:rPr>
                <w:rFonts w:ascii="Garamond" w:hAnsi="Garamond"/>
                <w:sz w:val="22"/>
                <w:szCs w:val="22"/>
              </w:rPr>
            </w:pPr>
          </w:p>
        </w:tc>
        <w:tc>
          <w:tcPr>
            <w:tcW w:w="0" w:type="auto"/>
          </w:tcPr>
          <w:p w14:paraId="0A449F45" w14:textId="77777777" w:rsidR="004540AE" w:rsidRPr="004C65DE" w:rsidRDefault="004540AE" w:rsidP="00342BAA">
            <w:pPr>
              <w:jc w:val="right"/>
              <w:rPr>
                <w:rFonts w:ascii="Garamond" w:hAnsi="Garamond"/>
                <w:sz w:val="22"/>
                <w:szCs w:val="22"/>
              </w:rPr>
            </w:pPr>
          </w:p>
        </w:tc>
        <w:tc>
          <w:tcPr>
            <w:tcW w:w="0" w:type="auto"/>
          </w:tcPr>
          <w:p w14:paraId="059EE167" w14:textId="77777777" w:rsidR="004540AE" w:rsidRPr="004C65DE" w:rsidRDefault="004540AE" w:rsidP="00342BAA">
            <w:pPr>
              <w:jc w:val="right"/>
              <w:rPr>
                <w:rFonts w:ascii="Garamond" w:hAnsi="Garamond"/>
                <w:sz w:val="22"/>
                <w:szCs w:val="22"/>
              </w:rPr>
            </w:pPr>
          </w:p>
        </w:tc>
        <w:tc>
          <w:tcPr>
            <w:tcW w:w="0" w:type="auto"/>
          </w:tcPr>
          <w:p w14:paraId="3B39DCE6" w14:textId="77777777" w:rsidR="004540AE" w:rsidRPr="004C65DE" w:rsidRDefault="004540AE" w:rsidP="00342BAA">
            <w:pPr>
              <w:jc w:val="right"/>
              <w:rPr>
                <w:rFonts w:ascii="Garamond" w:hAnsi="Garamond"/>
                <w:sz w:val="22"/>
                <w:szCs w:val="22"/>
              </w:rPr>
            </w:pPr>
          </w:p>
        </w:tc>
      </w:tr>
      <w:tr w:rsidR="004540AE" w:rsidRPr="004C65DE" w14:paraId="651A9B28" w14:textId="77777777" w:rsidTr="00342BAA">
        <w:tc>
          <w:tcPr>
            <w:tcW w:w="0" w:type="auto"/>
          </w:tcPr>
          <w:p w14:paraId="5A6BDD0C" w14:textId="77777777" w:rsidR="004540AE" w:rsidRPr="004C65DE" w:rsidRDefault="004540AE" w:rsidP="00342BAA">
            <w:pPr>
              <w:jc w:val="right"/>
              <w:rPr>
                <w:rFonts w:ascii="Garamond" w:hAnsi="Garamond"/>
                <w:b/>
                <w:bCs/>
                <w:sz w:val="22"/>
                <w:szCs w:val="22"/>
              </w:rPr>
            </w:pPr>
            <w:r w:rsidRPr="004C65DE">
              <w:rPr>
                <w:rFonts w:ascii="Garamond" w:hAnsi="Garamond"/>
                <w:b/>
                <w:bCs/>
                <w:sz w:val="22"/>
                <w:szCs w:val="22"/>
              </w:rPr>
              <w:t>Concentrated Disadvantage Index</w:t>
            </w:r>
          </w:p>
        </w:tc>
        <w:tc>
          <w:tcPr>
            <w:tcW w:w="0" w:type="auto"/>
          </w:tcPr>
          <w:p w14:paraId="770BFAF6" w14:textId="77777777" w:rsidR="004540AE" w:rsidRPr="004C65DE" w:rsidRDefault="004540AE" w:rsidP="00342BAA">
            <w:pPr>
              <w:jc w:val="right"/>
              <w:rPr>
                <w:rFonts w:ascii="Garamond" w:hAnsi="Garamond"/>
                <w:sz w:val="22"/>
                <w:szCs w:val="22"/>
              </w:rPr>
            </w:pPr>
          </w:p>
        </w:tc>
        <w:tc>
          <w:tcPr>
            <w:tcW w:w="0" w:type="auto"/>
          </w:tcPr>
          <w:p w14:paraId="21A794E6" w14:textId="77777777" w:rsidR="004540AE" w:rsidRPr="004C65DE" w:rsidRDefault="004540AE" w:rsidP="00342BAA">
            <w:pPr>
              <w:jc w:val="right"/>
              <w:rPr>
                <w:rFonts w:ascii="Garamond" w:hAnsi="Garamond"/>
                <w:sz w:val="22"/>
                <w:szCs w:val="22"/>
              </w:rPr>
            </w:pPr>
          </w:p>
        </w:tc>
        <w:tc>
          <w:tcPr>
            <w:tcW w:w="0" w:type="auto"/>
          </w:tcPr>
          <w:p w14:paraId="3507F3D4" w14:textId="77777777" w:rsidR="004540AE" w:rsidRPr="004C65DE" w:rsidRDefault="004540AE" w:rsidP="00342BAA">
            <w:pPr>
              <w:jc w:val="right"/>
              <w:rPr>
                <w:rFonts w:ascii="Garamond" w:hAnsi="Garamond"/>
                <w:sz w:val="22"/>
                <w:szCs w:val="22"/>
              </w:rPr>
            </w:pPr>
          </w:p>
        </w:tc>
        <w:tc>
          <w:tcPr>
            <w:tcW w:w="0" w:type="auto"/>
          </w:tcPr>
          <w:p w14:paraId="0D21CF4E" w14:textId="77777777" w:rsidR="004540AE" w:rsidRPr="004C65DE" w:rsidRDefault="004540AE" w:rsidP="00342BAA">
            <w:pPr>
              <w:jc w:val="right"/>
              <w:rPr>
                <w:rFonts w:ascii="Garamond" w:hAnsi="Garamond"/>
                <w:sz w:val="22"/>
                <w:szCs w:val="22"/>
              </w:rPr>
            </w:pPr>
          </w:p>
        </w:tc>
      </w:tr>
      <w:tr w:rsidR="004540AE" w:rsidRPr="004C65DE" w14:paraId="22B84B85" w14:textId="77777777" w:rsidTr="00342BAA">
        <w:tc>
          <w:tcPr>
            <w:tcW w:w="0" w:type="auto"/>
          </w:tcPr>
          <w:p w14:paraId="48BF33BC" w14:textId="77777777" w:rsidR="004540AE" w:rsidRPr="004C65DE" w:rsidRDefault="004540AE" w:rsidP="00342BAA">
            <w:pPr>
              <w:jc w:val="right"/>
              <w:rPr>
                <w:rFonts w:ascii="Garamond" w:hAnsi="Garamond"/>
                <w:sz w:val="22"/>
                <w:szCs w:val="22"/>
              </w:rPr>
            </w:pPr>
            <w:r>
              <w:rPr>
                <w:rFonts w:ascii="Garamond" w:hAnsi="Garamond"/>
                <w:sz w:val="22"/>
                <w:szCs w:val="22"/>
              </w:rPr>
              <w:t>National</w:t>
            </w:r>
          </w:p>
        </w:tc>
        <w:tc>
          <w:tcPr>
            <w:tcW w:w="0" w:type="auto"/>
          </w:tcPr>
          <w:p w14:paraId="6A3083D8"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Pr>
          <w:p w14:paraId="623ED96C" w14:textId="77777777" w:rsidR="004540AE" w:rsidRPr="004C65DE" w:rsidRDefault="004540AE" w:rsidP="00342BAA">
            <w:pPr>
              <w:jc w:val="right"/>
              <w:rPr>
                <w:rFonts w:ascii="Garamond" w:hAnsi="Garamond"/>
                <w:sz w:val="22"/>
                <w:szCs w:val="22"/>
              </w:rPr>
            </w:pPr>
            <w:r>
              <w:rPr>
                <w:rFonts w:ascii="Garamond" w:hAnsi="Garamond"/>
                <w:sz w:val="22"/>
                <w:szCs w:val="22"/>
              </w:rPr>
              <w:t>1.00</w:t>
            </w:r>
          </w:p>
        </w:tc>
        <w:tc>
          <w:tcPr>
            <w:tcW w:w="0" w:type="auto"/>
          </w:tcPr>
          <w:p w14:paraId="2027E9EA" w14:textId="77777777" w:rsidR="004540AE" w:rsidRPr="004C65DE" w:rsidRDefault="004540AE" w:rsidP="00342BAA">
            <w:pPr>
              <w:jc w:val="right"/>
              <w:rPr>
                <w:rFonts w:ascii="Garamond" w:hAnsi="Garamond"/>
                <w:sz w:val="22"/>
                <w:szCs w:val="22"/>
              </w:rPr>
            </w:pPr>
            <w:r>
              <w:rPr>
                <w:rFonts w:ascii="Garamond" w:hAnsi="Garamond"/>
                <w:sz w:val="22"/>
                <w:szCs w:val="22"/>
              </w:rPr>
              <w:t>-1.70</w:t>
            </w:r>
          </w:p>
        </w:tc>
        <w:tc>
          <w:tcPr>
            <w:tcW w:w="0" w:type="auto"/>
          </w:tcPr>
          <w:p w14:paraId="36457C24" w14:textId="77777777" w:rsidR="004540AE" w:rsidRPr="004C65DE" w:rsidRDefault="004540AE" w:rsidP="00342BAA">
            <w:pPr>
              <w:jc w:val="right"/>
              <w:rPr>
                <w:rFonts w:ascii="Garamond" w:hAnsi="Garamond"/>
                <w:sz w:val="22"/>
                <w:szCs w:val="22"/>
              </w:rPr>
            </w:pPr>
            <w:r>
              <w:rPr>
                <w:rFonts w:ascii="Garamond" w:hAnsi="Garamond"/>
                <w:sz w:val="22"/>
                <w:szCs w:val="22"/>
              </w:rPr>
              <w:t>7.45</w:t>
            </w:r>
          </w:p>
        </w:tc>
      </w:tr>
      <w:tr w:rsidR="004540AE" w:rsidRPr="004C65DE" w14:paraId="556E4A6E" w14:textId="77777777" w:rsidTr="00342BAA">
        <w:tc>
          <w:tcPr>
            <w:tcW w:w="0" w:type="auto"/>
          </w:tcPr>
          <w:p w14:paraId="1335EA03" w14:textId="77777777" w:rsidR="004540AE" w:rsidRDefault="004540AE" w:rsidP="00342BAA">
            <w:pPr>
              <w:jc w:val="right"/>
              <w:rPr>
                <w:rFonts w:ascii="Garamond" w:hAnsi="Garamond"/>
                <w:sz w:val="22"/>
                <w:szCs w:val="22"/>
              </w:rPr>
            </w:pPr>
            <w:r>
              <w:rPr>
                <w:rFonts w:ascii="Garamond" w:hAnsi="Garamond"/>
                <w:sz w:val="22"/>
                <w:szCs w:val="22"/>
              </w:rPr>
              <w:t>State</w:t>
            </w:r>
          </w:p>
        </w:tc>
        <w:tc>
          <w:tcPr>
            <w:tcW w:w="0" w:type="auto"/>
          </w:tcPr>
          <w:p w14:paraId="165F2D84"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Pr>
          <w:p w14:paraId="5C61CBD0" w14:textId="77777777" w:rsidR="004540AE" w:rsidRPr="004C65DE" w:rsidRDefault="004540AE" w:rsidP="00342BAA">
            <w:pPr>
              <w:jc w:val="right"/>
              <w:rPr>
                <w:rFonts w:ascii="Garamond" w:hAnsi="Garamond"/>
                <w:sz w:val="22"/>
                <w:szCs w:val="22"/>
              </w:rPr>
            </w:pPr>
            <w:r>
              <w:rPr>
                <w:rFonts w:ascii="Garamond" w:hAnsi="Garamond"/>
                <w:sz w:val="22"/>
                <w:szCs w:val="22"/>
              </w:rPr>
              <w:t>1.00</w:t>
            </w:r>
          </w:p>
        </w:tc>
        <w:tc>
          <w:tcPr>
            <w:tcW w:w="0" w:type="auto"/>
          </w:tcPr>
          <w:p w14:paraId="2ED4C082" w14:textId="77777777" w:rsidR="004540AE" w:rsidRPr="004C65DE" w:rsidRDefault="004540AE" w:rsidP="00342BAA">
            <w:pPr>
              <w:jc w:val="right"/>
              <w:rPr>
                <w:rFonts w:ascii="Garamond" w:hAnsi="Garamond"/>
                <w:sz w:val="22"/>
                <w:szCs w:val="22"/>
              </w:rPr>
            </w:pPr>
            <w:r>
              <w:rPr>
                <w:rFonts w:ascii="Garamond" w:hAnsi="Garamond"/>
                <w:sz w:val="22"/>
                <w:szCs w:val="22"/>
              </w:rPr>
              <w:t>-2.65</w:t>
            </w:r>
          </w:p>
        </w:tc>
        <w:tc>
          <w:tcPr>
            <w:tcW w:w="0" w:type="auto"/>
          </w:tcPr>
          <w:p w14:paraId="32E9FBD1" w14:textId="77777777" w:rsidR="004540AE" w:rsidRPr="004C65DE" w:rsidRDefault="004540AE" w:rsidP="00342BAA">
            <w:pPr>
              <w:jc w:val="right"/>
              <w:rPr>
                <w:rFonts w:ascii="Garamond" w:hAnsi="Garamond"/>
                <w:sz w:val="22"/>
                <w:szCs w:val="22"/>
              </w:rPr>
            </w:pPr>
            <w:r>
              <w:rPr>
                <w:rFonts w:ascii="Garamond" w:hAnsi="Garamond"/>
                <w:sz w:val="22"/>
                <w:szCs w:val="22"/>
              </w:rPr>
              <w:t>8.87</w:t>
            </w:r>
          </w:p>
        </w:tc>
      </w:tr>
      <w:tr w:rsidR="004540AE" w:rsidRPr="004C65DE" w14:paraId="66289EF5" w14:textId="77777777" w:rsidTr="00342BAA">
        <w:tc>
          <w:tcPr>
            <w:tcW w:w="0" w:type="auto"/>
            <w:tcBorders>
              <w:bottom w:val="single" w:sz="4" w:space="0" w:color="auto"/>
            </w:tcBorders>
          </w:tcPr>
          <w:p w14:paraId="032A3F12" w14:textId="77777777" w:rsidR="004540AE" w:rsidRDefault="004540AE" w:rsidP="00342BAA">
            <w:pPr>
              <w:jc w:val="right"/>
              <w:rPr>
                <w:rFonts w:ascii="Garamond" w:hAnsi="Garamond"/>
                <w:sz w:val="22"/>
                <w:szCs w:val="22"/>
              </w:rPr>
            </w:pPr>
            <w:r>
              <w:rPr>
                <w:rFonts w:ascii="Garamond" w:hAnsi="Garamond"/>
                <w:sz w:val="22"/>
                <w:szCs w:val="22"/>
              </w:rPr>
              <w:t>City</w:t>
            </w:r>
          </w:p>
        </w:tc>
        <w:tc>
          <w:tcPr>
            <w:tcW w:w="0" w:type="auto"/>
            <w:tcBorders>
              <w:bottom w:val="single" w:sz="4" w:space="0" w:color="auto"/>
            </w:tcBorders>
          </w:tcPr>
          <w:p w14:paraId="06C2589B" w14:textId="77777777" w:rsidR="004540AE" w:rsidRPr="004C65DE" w:rsidRDefault="004540AE" w:rsidP="00342BAA">
            <w:pPr>
              <w:jc w:val="right"/>
              <w:rPr>
                <w:rFonts w:ascii="Garamond" w:hAnsi="Garamond"/>
                <w:sz w:val="22"/>
                <w:szCs w:val="22"/>
              </w:rPr>
            </w:pPr>
            <w:r>
              <w:rPr>
                <w:rFonts w:ascii="Garamond" w:hAnsi="Garamond"/>
                <w:sz w:val="22"/>
                <w:szCs w:val="22"/>
              </w:rPr>
              <w:t>0.00</w:t>
            </w:r>
          </w:p>
        </w:tc>
        <w:tc>
          <w:tcPr>
            <w:tcW w:w="0" w:type="auto"/>
            <w:tcBorders>
              <w:bottom w:val="single" w:sz="4" w:space="0" w:color="auto"/>
            </w:tcBorders>
          </w:tcPr>
          <w:p w14:paraId="68CDD53A" w14:textId="77777777" w:rsidR="004540AE" w:rsidRPr="004C65DE" w:rsidRDefault="004540AE" w:rsidP="00342BAA">
            <w:pPr>
              <w:jc w:val="right"/>
              <w:rPr>
                <w:rFonts w:ascii="Garamond" w:hAnsi="Garamond"/>
                <w:sz w:val="22"/>
                <w:szCs w:val="22"/>
              </w:rPr>
            </w:pPr>
            <w:r>
              <w:rPr>
                <w:rFonts w:ascii="Garamond" w:hAnsi="Garamond"/>
                <w:sz w:val="22"/>
                <w:szCs w:val="22"/>
              </w:rPr>
              <w:t>1.00</w:t>
            </w:r>
          </w:p>
        </w:tc>
        <w:tc>
          <w:tcPr>
            <w:tcW w:w="0" w:type="auto"/>
            <w:tcBorders>
              <w:bottom w:val="single" w:sz="4" w:space="0" w:color="auto"/>
            </w:tcBorders>
          </w:tcPr>
          <w:p w14:paraId="3B79F544" w14:textId="77777777" w:rsidR="004540AE" w:rsidRPr="004C65DE" w:rsidRDefault="004540AE" w:rsidP="00342BAA">
            <w:pPr>
              <w:jc w:val="right"/>
              <w:rPr>
                <w:rFonts w:ascii="Garamond" w:hAnsi="Garamond"/>
                <w:sz w:val="22"/>
                <w:szCs w:val="22"/>
              </w:rPr>
            </w:pPr>
            <w:r>
              <w:rPr>
                <w:rFonts w:ascii="Garamond" w:hAnsi="Garamond"/>
                <w:sz w:val="22"/>
                <w:szCs w:val="22"/>
              </w:rPr>
              <w:t>-2.72</w:t>
            </w:r>
          </w:p>
        </w:tc>
        <w:tc>
          <w:tcPr>
            <w:tcW w:w="0" w:type="auto"/>
            <w:tcBorders>
              <w:bottom w:val="single" w:sz="4" w:space="0" w:color="auto"/>
            </w:tcBorders>
          </w:tcPr>
          <w:p w14:paraId="50C30F23" w14:textId="77777777" w:rsidR="004540AE" w:rsidRPr="004C65DE" w:rsidRDefault="004540AE" w:rsidP="00342BAA">
            <w:pPr>
              <w:jc w:val="right"/>
              <w:rPr>
                <w:rFonts w:ascii="Garamond" w:hAnsi="Garamond"/>
                <w:sz w:val="22"/>
                <w:szCs w:val="22"/>
              </w:rPr>
            </w:pPr>
            <w:r>
              <w:rPr>
                <w:rFonts w:ascii="Garamond" w:hAnsi="Garamond"/>
                <w:sz w:val="22"/>
                <w:szCs w:val="22"/>
              </w:rPr>
              <w:t>7.78</w:t>
            </w:r>
          </w:p>
        </w:tc>
      </w:tr>
      <w:tr w:rsidR="004540AE" w14:paraId="150E4446" w14:textId="77777777" w:rsidTr="00342BAA">
        <w:tc>
          <w:tcPr>
            <w:tcW w:w="0" w:type="auto"/>
            <w:gridSpan w:val="5"/>
            <w:tcBorders>
              <w:top w:val="single" w:sz="4" w:space="0" w:color="auto"/>
            </w:tcBorders>
          </w:tcPr>
          <w:p w14:paraId="3F6716C3" w14:textId="77777777" w:rsidR="004540AE" w:rsidRPr="004C65DE" w:rsidRDefault="004540AE" w:rsidP="00342BAA">
            <w:pPr>
              <w:rPr>
                <w:rFonts w:ascii="Garamond" w:hAnsi="Garamond"/>
                <w:sz w:val="20"/>
                <w:szCs w:val="20"/>
              </w:rPr>
            </w:pPr>
            <w:r w:rsidRPr="004C65DE">
              <w:rPr>
                <w:rFonts w:ascii="Garamond" w:hAnsi="Garamond"/>
                <w:sz w:val="20"/>
                <w:szCs w:val="20"/>
              </w:rPr>
              <w:t xml:space="preserve">Source: American Violence Project; American Community Survey 2018-2022 5-year estimates; </w:t>
            </w:r>
          </w:p>
          <w:p w14:paraId="70E1170C" w14:textId="77777777" w:rsidR="004540AE" w:rsidRPr="004C65DE" w:rsidRDefault="004540AE" w:rsidP="00342BAA">
            <w:pPr>
              <w:rPr>
                <w:rFonts w:ascii="Garamond" w:hAnsi="Garamond"/>
                <w:sz w:val="20"/>
                <w:szCs w:val="20"/>
              </w:rPr>
            </w:pPr>
            <w:r>
              <w:rPr>
                <w:rFonts w:ascii="Garamond" w:hAnsi="Garamond"/>
                <w:sz w:val="20"/>
                <w:szCs w:val="20"/>
              </w:rPr>
              <w:t xml:space="preserve">CDC </w:t>
            </w:r>
            <w:r w:rsidRPr="004C65DE">
              <w:rPr>
                <w:rFonts w:ascii="Garamond" w:hAnsi="Garamond"/>
                <w:sz w:val="20"/>
                <w:szCs w:val="20"/>
              </w:rPr>
              <w:t>Social Vulnerability Index</w:t>
            </w:r>
          </w:p>
          <w:p w14:paraId="063E09E5" w14:textId="77777777" w:rsidR="004540AE" w:rsidRDefault="004540AE" w:rsidP="00342BAA">
            <w:pPr>
              <w:rPr>
                <w:rFonts w:ascii="Garamond" w:hAnsi="Garamond"/>
              </w:rPr>
            </w:pPr>
          </w:p>
        </w:tc>
      </w:tr>
    </w:tbl>
    <w:p w14:paraId="5F5E001A" w14:textId="77777777" w:rsidR="004540AE" w:rsidRDefault="004540AE" w:rsidP="004540AE"/>
    <w:p w14:paraId="3436DB02" w14:textId="77777777" w:rsidR="004540AE" w:rsidRDefault="004540AE" w:rsidP="004540AE"/>
    <w:p w14:paraId="377CB557" w14:textId="77777777" w:rsidR="004540AE" w:rsidRDefault="004540AE" w:rsidP="004540AE"/>
    <w:p w14:paraId="4645ADBC" w14:textId="77777777" w:rsidR="004540AE" w:rsidRDefault="004540AE" w:rsidP="004540AE"/>
    <w:p w14:paraId="7A26EB0C" w14:textId="77777777" w:rsidR="004540AE" w:rsidRDefault="004540AE" w:rsidP="004540AE"/>
    <w:p w14:paraId="42141ED3" w14:textId="77777777" w:rsidR="004540AE" w:rsidRDefault="004540AE" w:rsidP="004540AE"/>
    <w:p w14:paraId="18EF5B0C" w14:textId="77777777" w:rsidR="004540AE" w:rsidRDefault="004540AE" w:rsidP="004540AE"/>
    <w:p w14:paraId="31849F65" w14:textId="77777777" w:rsidR="004540AE" w:rsidRDefault="004540AE" w:rsidP="004540AE"/>
    <w:p w14:paraId="47E3BCD5" w14:textId="77777777" w:rsidR="004540AE" w:rsidRDefault="004540AE" w:rsidP="004540AE"/>
    <w:p w14:paraId="06D01ABD" w14:textId="77777777" w:rsidR="004540AE" w:rsidRDefault="004540AE" w:rsidP="004540AE"/>
    <w:p w14:paraId="789E7297" w14:textId="77777777" w:rsidR="004540AE" w:rsidRDefault="004540AE" w:rsidP="004540AE"/>
    <w:p w14:paraId="719EF1F4" w14:textId="77777777" w:rsidR="004540AE" w:rsidRDefault="004540AE" w:rsidP="004540AE"/>
    <w:p w14:paraId="79B51B71" w14:textId="77777777" w:rsidR="004540AE" w:rsidRDefault="004540AE" w:rsidP="004540AE"/>
    <w:p w14:paraId="33EABD5B" w14:textId="77777777" w:rsidR="004540AE" w:rsidRDefault="004540AE" w:rsidP="004540AE"/>
    <w:p w14:paraId="4F6F16E9" w14:textId="77777777" w:rsidR="004540AE" w:rsidRDefault="004540AE" w:rsidP="004540AE"/>
    <w:p w14:paraId="73CED417" w14:textId="77777777" w:rsidR="004540AE" w:rsidRDefault="004540AE" w:rsidP="004540AE">
      <w:pPr>
        <w:rPr>
          <w:rFonts w:ascii="Garamond" w:hAnsi="Garamond"/>
        </w:rPr>
        <w:sectPr w:rsidR="004540AE" w:rsidSect="004540AE">
          <w:footerReference w:type="default" r:id="rId13"/>
          <w:pgSz w:w="12240" w:h="15840"/>
          <w:pgMar w:top="1440" w:right="1440" w:bottom="1440" w:left="1440"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
        <w:gridCol w:w="719"/>
        <w:gridCol w:w="606"/>
        <w:gridCol w:w="423"/>
        <w:gridCol w:w="719"/>
        <w:gridCol w:w="606"/>
        <w:gridCol w:w="423"/>
        <w:gridCol w:w="606"/>
        <w:gridCol w:w="606"/>
        <w:gridCol w:w="423"/>
        <w:gridCol w:w="719"/>
        <w:gridCol w:w="719"/>
        <w:gridCol w:w="423"/>
        <w:gridCol w:w="1069"/>
        <w:gridCol w:w="1069"/>
        <w:gridCol w:w="392"/>
      </w:tblGrid>
      <w:tr w:rsidR="004540AE" w:rsidRPr="007F7CF1" w14:paraId="446C678B" w14:textId="77777777" w:rsidTr="00342BAA">
        <w:tc>
          <w:tcPr>
            <w:tcW w:w="0" w:type="auto"/>
            <w:gridSpan w:val="16"/>
            <w:tcBorders>
              <w:bottom w:val="double" w:sz="4" w:space="0" w:color="auto"/>
            </w:tcBorders>
          </w:tcPr>
          <w:p w14:paraId="60AB6253" w14:textId="77777777" w:rsidR="004540AE" w:rsidRDefault="004540AE" w:rsidP="00342BAA">
            <w:pPr>
              <w:rPr>
                <w:rFonts w:ascii="Garamond" w:hAnsi="Garamond"/>
              </w:rPr>
            </w:pPr>
            <w:r>
              <w:rPr>
                <w:rFonts w:ascii="Garamond" w:hAnsi="Garamond"/>
              </w:rPr>
              <w:lastRenderedPageBreak/>
              <w:t xml:space="preserve">Table 2: Negative Binomial Regression of Firearm Homicide Counts on SVI Composite and </w:t>
            </w:r>
          </w:p>
          <w:p w14:paraId="29E8009E" w14:textId="77777777" w:rsidR="004540AE" w:rsidRDefault="004540AE" w:rsidP="00342BAA">
            <w:pPr>
              <w:rPr>
                <w:rFonts w:ascii="Garamond" w:hAnsi="Garamond"/>
              </w:rPr>
            </w:pPr>
            <w:r>
              <w:rPr>
                <w:rFonts w:ascii="Garamond" w:hAnsi="Garamond"/>
              </w:rPr>
              <w:t>Subthemes (N = 13,268 tracts)</w:t>
            </w:r>
          </w:p>
        </w:tc>
      </w:tr>
      <w:tr w:rsidR="004540AE" w:rsidRPr="007F7CF1" w14:paraId="512F3DCF" w14:textId="77777777" w:rsidTr="00342BAA">
        <w:tc>
          <w:tcPr>
            <w:tcW w:w="0" w:type="auto"/>
            <w:tcBorders>
              <w:top w:val="double" w:sz="4" w:space="0" w:color="auto"/>
            </w:tcBorders>
          </w:tcPr>
          <w:p w14:paraId="0DCD178A" w14:textId="77777777" w:rsidR="004540AE" w:rsidRPr="007F7CF1" w:rsidRDefault="004540AE" w:rsidP="00342BAA">
            <w:pPr>
              <w:rPr>
                <w:rFonts w:ascii="Garamond" w:hAnsi="Garamond"/>
              </w:rPr>
            </w:pPr>
          </w:p>
        </w:tc>
        <w:tc>
          <w:tcPr>
            <w:tcW w:w="0" w:type="auto"/>
            <w:gridSpan w:val="3"/>
            <w:tcBorders>
              <w:top w:val="double" w:sz="4" w:space="0" w:color="auto"/>
              <w:bottom w:val="single" w:sz="4" w:space="0" w:color="auto"/>
            </w:tcBorders>
          </w:tcPr>
          <w:p w14:paraId="100CCD05" w14:textId="77777777" w:rsidR="004540AE" w:rsidRPr="007F7CF1" w:rsidRDefault="004540AE" w:rsidP="00342BAA">
            <w:pPr>
              <w:jc w:val="center"/>
              <w:rPr>
                <w:rFonts w:ascii="Garamond" w:hAnsi="Garamond"/>
              </w:rPr>
            </w:pPr>
            <w:r>
              <w:rPr>
                <w:rFonts w:ascii="Garamond" w:hAnsi="Garamond"/>
              </w:rPr>
              <w:t>Model 1</w:t>
            </w:r>
          </w:p>
        </w:tc>
        <w:tc>
          <w:tcPr>
            <w:tcW w:w="0" w:type="auto"/>
            <w:gridSpan w:val="3"/>
            <w:tcBorders>
              <w:top w:val="double" w:sz="4" w:space="0" w:color="auto"/>
              <w:bottom w:val="single" w:sz="4" w:space="0" w:color="auto"/>
            </w:tcBorders>
          </w:tcPr>
          <w:p w14:paraId="56220205" w14:textId="77777777" w:rsidR="004540AE" w:rsidRPr="007F7CF1" w:rsidRDefault="004540AE" w:rsidP="00342BAA">
            <w:pPr>
              <w:jc w:val="center"/>
              <w:rPr>
                <w:rFonts w:ascii="Garamond" w:hAnsi="Garamond"/>
              </w:rPr>
            </w:pPr>
            <w:r>
              <w:rPr>
                <w:rFonts w:ascii="Garamond" w:hAnsi="Garamond"/>
              </w:rPr>
              <w:t>Model 2</w:t>
            </w:r>
          </w:p>
        </w:tc>
        <w:tc>
          <w:tcPr>
            <w:tcW w:w="0" w:type="auto"/>
            <w:gridSpan w:val="3"/>
            <w:tcBorders>
              <w:top w:val="double" w:sz="4" w:space="0" w:color="auto"/>
              <w:bottom w:val="single" w:sz="4" w:space="0" w:color="auto"/>
            </w:tcBorders>
          </w:tcPr>
          <w:p w14:paraId="71B46569" w14:textId="77777777" w:rsidR="004540AE" w:rsidRPr="007F7CF1" w:rsidRDefault="004540AE" w:rsidP="00342BAA">
            <w:pPr>
              <w:jc w:val="center"/>
              <w:rPr>
                <w:rFonts w:ascii="Garamond" w:hAnsi="Garamond"/>
              </w:rPr>
            </w:pPr>
            <w:r>
              <w:rPr>
                <w:rFonts w:ascii="Garamond" w:hAnsi="Garamond"/>
              </w:rPr>
              <w:t>Model 3</w:t>
            </w:r>
          </w:p>
        </w:tc>
        <w:tc>
          <w:tcPr>
            <w:tcW w:w="0" w:type="auto"/>
            <w:gridSpan w:val="3"/>
            <w:tcBorders>
              <w:top w:val="double" w:sz="4" w:space="0" w:color="auto"/>
              <w:bottom w:val="single" w:sz="4" w:space="0" w:color="auto"/>
            </w:tcBorders>
          </w:tcPr>
          <w:p w14:paraId="30A3670E" w14:textId="77777777" w:rsidR="004540AE" w:rsidRPr="007F7CF1" w:rsidRDefault="004540AE" w:rsidP="00342BAA">
            <w:pPr>
              <w:jc w:val="center"/>
              <w:rPr>
                <w:rFonts w:ascii="Garamond" w:hAnsi="Garamond"/>
              </w:rPr>
            </w:pPr>
            <w:r>
              <w:rPr>
                <w:rFonts w:ascii="Garamond" w:hAnsi="Garamond"/>
              </w:rPr>
              <w:t>Model 4</w:t>
            </w:r>
          </w:p>
        </w:tc>
        <w:tc>
          <w:tcPr>
            <w:tcW w:w="0" w:type="auto"/>
            <w:gridSpan w:val="3"/>
            <w:tcBorders>
              <w:top w:val="double" w:sz="4" w:space="0" w:color="auto"/>
              <w:bottom w:val="single" w:sz="4" w:space="0" w:color="auto"/>
            </w:tcBorders>
          </w:tcPr>
          <w:p w14:paraId="07B54BF2" w14:textId="77777777" w:rsidR="004540AE" w:rsidRPr="007F7CF1" w:rsidRDefault="004540AE" w:rsidP="00342BAA">
            <w:pPr>
              <w:jc w:val="center"/>
              <w:rPr>
                <w:rFonts w:ascii="Garamond" w:hAnsi="Garamond"/>
              </w:rPr>
            </w:pPr>
            <w:r>
              <w:rPr>
                <w:rFonts w:ascii="Garamond" w:hAnsi="Garamond"/>
              </w:rPr>
              <w:t>Model 5</w:t>
            </w:r>
          </w:p>
        </w:tc>
      </w:tr>
      <w:tr w:rsidR="004540AE" w:rsidRPr="007F7CF1" w14:paraId="00520E63" w14:textId="77777777" w:rsidTr="00342BAA">
        <w:tc>
          <w:tcPr>
            <w:tcW w:w="0" w:type="auto"/>
            <w:tcBorders>
              <w:top w:val="single" w:sz="4" w:space="0" w:color="auto"/>
            </w:tcBorders>
          </w:tcPr>
          <w:p w14:paraId="1C62FF33" w14:textId="77777777" w:rsidR="004540AE" w:rsidRPr="007F7CF1" w:rsidRDefault="004540AE" w:rsidP="00342BAA">
            <w:pPr>
              <w:jc w:val="right"/>
              <w:rPr>
                <w:rFonts w:ascii="Garamond" w:hAnsi="Garamond"/>
              </w:rPr>
            </w:pPr>
          </w:p>
        </w:tc>
        <w:tc>
          <w:tcPr>
            <w:tcW w:w="0" w:type="auto"/>
            <w:gridSpan w:val="3"/>
            <w:tcBorders>
              <w:top w:val="single" w:sz="4" w:space="0" w:color="auto"/>
              <w:bottom w:val="single" w:sz="4" w:space="0" w:color="auto"/>
            </w:tcBorders>
          </w:tcPr>
          <w:p w14:paraId="1CE50891" w14:textId="77777777" w:rsidR="004540AE" w:rsidRDefault="004540AE" w:rsidP="00342BAA">
            <w:pPr>
              <w:jc w:val="center"/>
              <w:rPr>
                <w:rFonts w:ascii="Garamond" w:hAnsi="Garamond"/>
              </w:rPr>
            </w:pPr>
            <w:r>
              <w:rPr>
                <w:rFonts w:ascii="Garamond" w:hAnsi="Garamond"/>
              </w:rPr>
              <w:t>Composite</w:t>
            </w:r>
          </w:p>
          <w:p w14:paraId="19866FA1" w14:textId="77777777" w:rsidR="004540AE" w:rsidRPr="007F7CF1" w:rsidRDefault="004540AE" w:rsidP="00342BAA">
            <w:pPr>
              <w:jc w:val="center"/>
              <w:rPr>
                <w:rFonts w:ascii="Garamond" w:hAnsi="Garamond"/>
              </w:rPr>
            </w:pPr>
            <w:r>
              <w:rPr>
                <w:rFonts w:ascii="Garamond" w:hAnsi="Garamond"/>
              </w:rPr>
              <w:t>SVI</w:t>
            </w:r>
          </w:p>
        </w:tc>
        <w:tc>
          <w:tcPr>
            <w:tcW w:w="0" w:type="auto"/>
            <w:gridSpan w:val="3"/>
            <w:tcBorders>
              <w:top w:val="single" w:sz="4" w:space="0" w:color="auto"/>
              <w:bottom w:val="single" w:sz="4" w:space="0" w:color="auto"/>
            </w:tcBorders>
          </w:tcPr>
          <w:p w14:paraId="55753BDE" w14:textId="77777777" w:rsidR="004540AE" w:rsidRDefault="004540AE" w:rsidP="00342BAA">
            <w:pPr>
              <w:jc w:val="center"/>
              <w:rPr>
                <w:rFonts w:ascii="Garamond" w:hAnsi="Garamond"/>
              </w:rPr>
            </w:pPr>
            <w:r>
              <w:rPr>
                <w:rFonts w:ascii="Garamond" w:hAnsi="Garamond"/>
              </w:rPr>
              <w:t>Theme 1:</w:t>
            </w:r>
          </w:p>
          <w:p w14:paraId="0D869F53" w14:textId="77777777" w:rsidR="004540AE" w:rsidRPr="007F7CF1" w:rsidRDefault="004540AE" w:rsidP="00342BAA">
            <w:pPr>
              <w:jc w:val="center"/>
              <w:rPr>
                <w:rFonts w:ascii="Garamond" w:hAnsi="Garamond"/>
              </w:rPr>
            </w:pPr>
            <w:r>
              <w:rPr>
                <w:rFonts w:ascii="Garamond" w:hAnsi="Garamond"/>
              </w:rPr>
              <w:t>SES</w:t>
            </w:r>
          </w:p>
        </w:tc>
        <w:tc>
          <w:tcPr>
            <w:tcW w:w="0" w:type="auto"/>
            <w:gridSpan w:val="3"/>
            <w:tcBorders>
              <w:top w:val="single" w:sz="4" w:space="0" w:color="auto"/>
              <w:bottom w:val="single" w:sz="4" w:space="0" w:color="auto"/>
            </w:tcBorders>
          </w:tcPr>
          <w:p w14:paraId="009AE74E" w14:textId="77777777" w:rsidR="004540AE" w:rsidRDefault="004540AE" w:rsidP="00342BAA">
            <w:pPr>
              <w:jc w:val="center"/>
              <w:rPr>
                <w:rFonts w:ascii="Garamond" w:hAnsi="Garamond"/>
              </w:rPr>
            </w:pPr>
            <w:r>
              <w:rPr>
                <w:rFonts w:ascii="Garamond" w:hAnsi="Garamond"/>
              </w:rPr>
              <w:t xml:space="preserve">Theme 2: </w:t>
            </w:r>
          </w:p>
          <w:p w14:paraId="51A85EFF" w14:textId="77777777" w:rsidR="004540AE" w:rsidRPr="007F7CF1" w:rsidRDefault="004540AE" w:rsidP="00342BAA">
            <w:pPr>
              <w:jc w:val="center"/>
              <w:rPr>
                <w:rFonts w:ascii="Garamond" w:hAnsi="Garamond"/>
              </w:rPr>
            </w:pPr>
            <w:r>
              <w:rPr>
                <w:rFonts w:ascii="Garamond" w:hAnsi="Garamond"/>
              </w:rPr>
              <w:t>Households</w:t>
            </w:r>
          </w:p>
        </w:tc>
        <w:tc>
          <w:tcPr>
            <w:tcW w:w="0" w:type="auto"/>
            <w:gridSpan w:val="3"/>
            <w:tcBorders>
              <w:top w:val="single" w:sz="4" w:space="0" w:color="auto"/>
              <w:bottom w:val="single" w:sz="4" w:space="0" w:color="auto"/>
            </w:tcBorders>
          </w:tcPr>
          <w:p w14:paraId="4351374D" w14:textId="77777777" w:rsidR="004540AE" w:rsidRDefault="004540AE" w:rsidP="00342BAA">
            <w:pPr>
              <w:jc w:val="center"/>
              <w:rPr>
                <w:rFonts w:ascii="Garamond" w:hAnsi="Garamond"/>
              </w:rPr>
            </w:pPr>
            <w:r>
              <w:rPr>
                <w:rFonts w:ascii="Garamond" w:hAnsi="Garamond"/>
              </w:rPr>
              <w:t xml:space="preserve">Theme 3: </w:t>
            </w:r>
          </w:p>
          <w:p w14:paraId="1DC36209" w14:textId="77777777" w:rsidR="004540AE" w:rsidRPr="007F7CF1" w:rsidRDefault="004540AE" w:rsidP="00342BAA">
            <w:pPr>
              <w:jc w:val="center"/>
              <w:rPr>
                <w:rFonts w:ascii="Garamond" w:hAnsi="Garamond"/>
              </w:rPr>
            </w:pPr>
            <w:r>
              <w:rPr>
                <w:rFonts w:ascii="Garamond" w:hAnsi="Garamond"/>
              </w:rPr>
              <w:t>Race/Ethnicity</w:t>
            </w:r>
          </w:p>
        </w:tc>
        <w:tc>
          <w:tcPr>
            <w:tcW w:w="0" w:type="auto"/>
            <w:gridSpan w:val="3"/>
            <w:tcBorders>
              <w:top w:val="single" w:sz="4" w:space="0" w:color="auto"/>
              <w:bottom w:val="single" w:sz="4" w:space="0" w:color="auto"/>
            </w:tcBorders>
          </w:tcPr>
          <w:p w14:paraId="6B94BDAC" w14:textId="77777777" w:rsidR="004540AE" w:rsidRDefault="004540AE" w:rsidP="00342BAA">
            <w:pPr>
              <w:jc w:val="center"/>
              <w:rPr>
                <w:rFonts w:ascii="Garamond" w:hAnsi="Garamond"/>
              </w:rPr>
            </w:pPr>
            <w:r>
              <w:rPr>
                <w:rFonts w:ascii="Garamond" w:hAnsi="Garamond"/>
              </w:rPr>
              <w:t xml:space="preserve">Theme 4: </w:t>
            </w:r>
          </w:p>
          <w:p w14:paraId="443D577C" w14:textId="77777777" w:rsidR="004540AE" w:rsidRPr="007F7CF1" w:rsidRDefault="004540AE" w:rsidP="00342BAA">
            <w:pPr>
              <w:jc w:val="center"/>
              <w:rPr>
                <w:rFonts w:ascii="Garamond" w:hAnsi="Garamond"/>
              </w:rPr>
            </w:pPr>
            <w:r>
              <w:rPr>
                <w:rFonts w:ascii="Garamond" w:hAnsi="Garamond"/>
              </w:rPr>
              <w:t>Housing/Transportation</w:t>
            </w:r>
          </w:p>
        </w:tc>
      </w:tr>
      <w:tr w:rsidR="004540AE" w:rsidRPr="007F7CF1" w14:paraId="2B794C93" w14:textId="77777777" w:rsidTr="00342BAA">
        <w:tc>
          <w:tcPr>
            <w:tcW w:w="0" w:type="auto"/>
          </w:tcPr>
          <w:p w14:paraId="66FE9360" w14:textId="77777777" w:rsidR="004540AE" w:rsidRPr="007F7CF1" w:rsidRDefault="004540AE" w:rsidP="00342BAA">
            <w:pPr>
              <w:jc w:val="right"/>
              <w:rPr>
                <w:rFonts w:ascii="Garamond" w:hAnsi="Garamond"/>
              </w:rPr>
            </w:pPr>
          </w:p>
        </w:tc>
        <w:tc>
          <w:tcPr>
            <w:tcW w:w="0" w:type="auto"/>
            <w:tcBorders>
              <w:top w:val="single" w:sz="4" w:space="0" w:color="auto"/>
              <w:bottom w:val="single" w:sz="4" w:space="0" w:color="auto"/>
            </w:tcBorders>
          </w:tcPr>
          <w:p w14:paraId="4F68B88C" w14:textId="77777777" w:rsidR="004540AE" w:rsidRPr="007F7CF1" w:rsidRDefault="004540AE"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7F7C9F95" w14:textId="77777777" w:rsidR="004540AE" w:rsidRPr="007F7CF1" w:rsidRDefault="004540AE"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6B031754" w14:textId="77777777" w:rsidR="004540AE" w:rsidRPr="007F7CF1" w:rsidRDefault="004540AE" w:rsidP="00342BAA">
            <w:pPr>
              <w:rPr>
                <w:rFonts w:ascii="Garamond" w:hAnsi="Garamond"/>
              </w:rPr>
            </w:pPr>
          </w:p>
        </w:tc>
        <w:tc>
          <w:tcPr>
            <w:tcW w:w="0" w:type="auto"/>
            <w:tcBorders>
              <w:top w:val="single" w:sz="4" w:space="0" w:color="auto"/>
              <w:bottom w:val="single" w:sz="4" w:space="0" w:color="auto"/>
            </w:tcBorders>
          </w:tcPr>
          <w:p w14:paraId="70A2E99F" w14:textId="77777777" w:rsidR="004540AE" w:rsidRPr="007F7CF1" w:rsidRDefault="004540AE"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34E97F8F" w14:textId="77777777" w:rsidR="004540AE" w:rsidRPr="007F7CF1" w:rsidRDefault="004540AE"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7CCF6218" w14:textId="77777777" w:rsidR="004540AE" w:rsidRPr="007F7CF1" w:rsidRDefault="004540AE" w:rsidP="00342BAA">
            <w:pPr>
              <w:rPr>
                <w:rFonts w:ascii="Garamond" w:hAnsi="Garamond"/>
              </w:rPr>
            </w:pPr>
          </w:p>
        </w:tc>
        <w:tc>
          <w:tcPr>
            <w:tcW w:w="0" w:type="auto"/>
            <w:tcBorders>
              <w:top w:val="single" w:sz="4" w:space="0" w:color="auto"/>
              <w:bottom w:val="single" w:sz="4" w:space="0" w:color="auto"/>
            </w:tcBorders>
          </w:tcPr>
          <w:p w14:paraId="3AF3280F" w14:textId="77777777" w:rsidR="004540AE" w:rsidRPr="007F7CF1" w:rsidRDefault="004540AE"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1D548C50" w14:textId="77777777" w:rsidR="004540AE" w:rsidRPr="007F7CF1" w:rsidRDefault="004540AE"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4F9789C4" w14:textId="77777777" w:rsidR="004540AE" w:rsidRPr="007F7CF1" w:rsidRDefault="004540AE" w:rsidP="00342BAA">
            <w:pPr>
              <w:rPr>
                <w:rFonts w:ascii="Garamond" w:hAnsi="Garamond"/>
              </w:rPr>
            </w:pPr>
          </w:p>
        </w:tc>
        <w:tc>
          <w:tcPr>
            <w:tcW w:w="0" w:type="auto"/>
            <w:tcBorders>
              <w:top w:val="single" w:sz="4" w:space="0" w:color="auto"/>
              <w:bottom w:val="single" w:sz="4" w:space="0" w:color="auto"/>
            </w:tcBorders>
          </w:tcPr>
          <w:p w14:paraId="038D0098" w14:textId="77777777" w:rsidR="004540AE" w:rsidRPr="007F7CF1" w:rsidRDefault="004540AE"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535C7945" w14:textId="77777777" w:rsidR="004540AE" w:rsidRPr="007F7CF1" w:rsidRDefault="004540AE"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1DA532CC" w14:textId="77777777" w:rsidR="004540AE" w:rsidRPr="007F7CF1" w:rsidRDefault="004540AE" w:rsidP="00342BAA">
            <w:pPr>
              <w:rPr>
                <w:rFonts w:ascii="Garamond" w:hAnsi="Garamond"/>
              </w:rPr>
            </w:pPr>
          </w:p>
        </w:tc>
        <w:tc>
          <w:tcPr>
            <w:tcW w:w="0" w:type="auto"/>
            <w:tcBorders>
              <w:top w:val="single" w:sz="4" w:space="0" w:color="auto"/>
              <w:bottom w:val="single" w:sz="4" w:space="0" w:color="auto"/>
            </w:tcBorders>
          </w:tcPr>
          <w:p w14:paraId="659A70B5" w14:textId="77777777" w:rsidR="004540AE" w:rsidRPr="007F7CF1" w:rsidRDefault="004540AE"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70E2BD39" w14:textId="77777777" w:rsidR="004540AE" w:rsidRPr="007F7CF1" w:rsidRDefault="004540AE"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45821C02" w14:textId="77777777" w:rsidR="004540AE" w:rsidRPr="007F7CF1" w:rsidRDefault="004540AE" w:rsidP="00342BAA">
            <w:pPr>
              <w:rPr>
                <w:rFonts w:ascii="Garamond" w:hAnsi="Garamond"/>
              </w:rPr>
            </w:pPr>
          </w:p>
        </w:tc>
      </w:tr>
      <w:tr w:rsidR="004540AE" w:rsidRPr="007F7CF1" w14:paraId="442C7422" w14:textId="77777777" w:rsidTr="00342BAA">
        <w:tc>
          <w:tcPr>
            <w:tcW w:w="0" w:type="auto"/>
          </w:tcPr>
          <w:p w14:paraId="677B60B1" w14:textId="77777777" w:rsidR="004540AE" w:rsidRPr="007F7CF1" w:rsidRDefault="004540AE" w:rsidP="00342BAA">
            <w:pPr>
              <w:jc w:val="right"/>
              <w:rPr>
                <w:rFonts w:ascii="Garamond" w:hAnsi="Garamond"/>
              </w:rPr>
            </w:pPr>
          </w:p>
        </w:tc>
        <w:tc>
          <w:tcPr>
            <w:tcW w:w="0" w:type="auto"/>
            <w:tcBorders>
              <w:top w:val="single" w:sz="4" w:space="0" w:color="auto"/>
            </w:tcBorders>
          </w:tcPr>
          <w:p w14:paraId="03395679" w14:textId="77777777" w:rsidR="004540AE" w:rsidRPr="007F7CF1" w:rsidRDefault="004540AE" w:rsidP="00342BAA">
            <w:pPr>
              <w:jc w:val="right"/>
              <w:rPr>
                <w:rFonts w:ascii="Garamond" w:hAnsi="Garamond"/>
              </w:rPr>
            </w:pPr>
            <w:r>
              <w:rPr>
                <w:rFonts w:ascii="Garamond" w:hAnsi="Garamond"/>
              </w:rPr>
              <w:t>14.06</w:t>
            </w:r>
          </w:p>
        </w:tc>
        <w:tc>
          <w:tcPr>
            <w:tcW w:w="0" w:type="auto"/>
            <w:tcBorders>
              <w:top w:val="single" w:sz="4" w:space="0" w:color="auto"/>
            </w:tcBorders>
          </w:tcPr>
          <w:p w14:paraId="49B71036" w14:textId="77777777" w:rsidR="004540AE" w:rsidRPr="007F7CF1" w:rsidRDefault="004540AE" w:rsidP="00342BAA">
            <w:pPr>
              <w:jc w:val="right"/>
              <w:rPr>
                <w:rFonts w:ascii="Garamond" w:hAnsi="Garamond"/>
              </w:rPr>
            </w:pPr>
            <w:r>
              <w:rPr>
                <w:rFonts w:ascii="Garamond" w:hAnsi="Garamond"/>
              </w:rPr>
              <w:t>2.74</w:t>
            </w:r>
          </w:p>
        </w:tc>
        <w:tc>
          <w:tcPr>
            <w:tcW w:w="0" w:type="auto"/>
            <w:tcBorders>
              <w:top w:val="single" w:sz="4" w:space="0" w:color="auto"/>
            </w:tcBorders>
            <w:tcMar>
              <w:left w:w="0" w:type="dxa"/>
              <w:right w:w="115" w:type="dxa"/>
            </w:tcMar>
          </w:tcPr>
          <w:p w14:paraId="0EF5C090" w14:textId="77777777" w:rsidR="004540AE" w:rsidRPr="007F7CF1" w:rsidRDefault="004540AE" w:rsidP="00342BAA">
            <w:pPr>
              <w:rPr>
                <w:rFonts w:ascii="Garamond" w:hAnsi="Garamond"/>
              </w:rPr>
            </w:pPr>
            <w:r>
              <w:rPr>
                <w:rFonts w:ascii="Garamond" w:hAnsi="Garamond"/>
              </w:rPr>
              <w:t>***</w:t>
            </w:r>
          </w:p>
        </w:tc>
        <w:tc>
          <w:tcPr>
            <w:tcW w:w="0" w:type="auto"/>
            <w:tcBorders>
              <w:top w:val="single" w:sz="4" w:space="0" w:color="auto"/>
            </w:tcBorders>
          </w:tcPr>
          <w:p w14:paraId="04E90FBC" w14:textId="77777777" w:rsidR="004540AE" w:rsidRPr="007F7CF1" w:rsidRDefault="004540AE" w:rsidP="00342BAA">
            <w:pPr>
              <w:jc w:val="right"/>
              <w:rPr>
                <w:rFonts w:ascii="Garamond" w:hAnsi="Garamond"/>
              </w:rPr>
            </w:pPr>
            <w:r>
              <w:rPr>
                <w:rFonts w:ascii="Garamond" w:hAnsi="Garamond"/>
              </w:rPr>
              <w:t>22.20</w:t>
            </w:r>
          </w:p>
        </w:tc>
        <w:tc>
          <w:tcPr>
            <w:tcW w:w="0" w:type="auto"/>
            <w:tcBorders>
              <w:top w:val="single" w:sz="4" w:space="0" w:color="auto"/>
            </w:tcBorders>
          </w:tcPr>
          <w:p w14:paraId="7C0D5458" w14:textId="77777777" w:rsidR="004540AE" w:rsidRPr="007F7CF1" w:rsidRDefault="004540AE" w:rsidP="00342BAA">
            <w:pPr>
              <w:jc w:val="right"/>
              <w:rPr>
                <w:rFonts w:ascii="Garamond" w:hAnsi="Garamond"/>
              </w:rPr>
            </w:pPr>
            <w:r>
              <w:rPr>
                <w:rFonts w:ascii="Garamond" w:hAnsi="Garamond"/>
              </w:rPr>
              <w:t>3.60</w:t>
            </w:r>
          </w:p>
        </w:tc>
        <w:tc>
          <w:tcPr>
            <w:tcW w:w="0" w:type="auto"/>
            <w:tcBorders>
              <w:top w:val="single" w:sz="4" w:space="0" w:color="auto"/>
            </w:tcBorders>
            <w:tcMar>
              <w:left w:w="0" w:type="dxa"/>
              <w:right w:w="115" w:type="dxa"/>
            </w:tcMar>
          </w:tcPr>
          <w:p w14:paraId="2669A4E3" w14:textId="77777777" w:rsidR="004540AE" w:rsidRPr="007F7CF1" w:rsidRDefault="004540AE" w:rsidP="00342BAA">
            <w:pPr>
              <w:rPr>
                <w:rFonts w:ascii="Garamond" w:hAnsi="Garamond"/>
              </w:rPr>
            </w:pPr>
            <w:r>
              <w:rPr>
                <w:rFonts w:ascii="Garamond" w:hAnsi="Garamond"/>
              </w:rPr>
              <w:t>***</w:t>
            </w:r>
          </w:p>
        </w:tc>
        <w:tc>
          <w:tcPr>
            <w:tcW w:w="0" w:type="auto"/>
            <w:tcBorders>
              <w:top w:val="single" w:sz="4" w:space="0" w:color="auto"/>
            </w:tcBorders>
          </w:tcPr>
          <w:p w14:paraId="3DE7681D" w14:textId="77777777" w:rsidR="004540AE" w:rsidRPr="007F7CF1" w:rsidRDefault="004540AE" w:rsidP="00342BAA">
            <w:pPr>
              <w:jc w:val="right"/>
              <w:rPr>
                <w:rFonts w:ascii="Garamond" w:hAnsi="Garamond"/>
              </w:rPr>
            </w:pPr>
            <w:r>
              <w:rPr>
                <w:rFonts w:ascii="Garamond" w:hAnsi="Garamond"/>
              </w:rPr>
              <w:t>3.89</w:t>
            </w:r>
          </w:p>
        </w:tc>
        <w:tc>
          <w:tcPr>
            <w:tcW w:w="0" w:type="auto"/>
            <w:tcBorders>
              <w:top w:val="single" w:sz="4" w:space="0" w:color="auto"/>
            </w:tcBorders>
          </w:tcPr>
          <w:p w14:paraId="7191FD98" w14:textId="77777777" w:rsidR="004540AE" w:rsidRPr="007F7CF1" w:rsidRDefault="004540AE" w:rsidP="00342BAA">
            <w:pPr>
              <w:jc w:val="right"/>
              <w:rPr>
                <w:rFonts w:ascii="Garamond" w:hAnsi="Garamond"/>
              </w:rPr>
            </w:pPr>
            <w:r>
              <w:rPr>
                <w:rFonts w:ascii="Garamond" w:hAnsi="Garamond"/>
              </w:rPr>
              <w:t>0.54</w:t>
            </w:r>
          </w:p>
        </w:tc>
        <w:tc>
          <w:tcPr>
            <w:tcW w:w="0" w:type="auto"/>
            <w:tcBorders>
              <w:top w:val="single" w:sz="4" w:space="0" w:color="auto"/>
            </w:tcBorders>
            <w:tcMar>
              <w:left w:w="0" w:type="dxa"/>
              <w:right w:w="115" w:type="dxa"/>
            </w:tcMar>
          </w:tcPr>
          <w:p w14:paraId="08BAA0FD" w14:textId="77777777" w:rsidR="004540AE" w:rsidRPr="007F7CF1" w:rsidRDefault="004540AE" w:rsidP="00342BAA">
            <w:pPr>
              <w:rPr>
                <w:rFonts w:ascii="Garamond" w:hAnsi="Garamond"/>
              </w:rPr>
            </w:pPr>
            <w:r>
              <w:rPr>
                <w:rFonts w:ascii="Garamond" w:hAnsi="Garamond"/>
              </w:rPr>
              <w:t>***</w:t>
            </w:r>
          </w:p>
        </w:tc>
        <w:tc>
          <w:tcPr>
            <w:tcW w:w="0" w:type="auto"/>
            <w:tcBorders>
              <w:top w:val="single" w:sz="4" w:space="0" w:color="auto"/>
            </w:tcBorders>
          </w:tcPr>
          <w:p w14:paraId="7ABECB9E" w14:textId="77777777" w:rsidR="004540AE" w:rsidRPr="007F7CF1" w:rsidRDefault="004540AE" w:rsidP="00342BAA">
            <w:pPr>
              <w:jc w:val="right"/>
              <w:rPr>
                <w:rFonts w:ascii="Garamond" w:hAnsi="Garamond"/>
              </w:rPr>
            </w:pPr>
            <w:r>
              <w:rPr>
                <w:rFonts w:ascii="Garamond" w:hAnsi="Garamond"/>
              </w:rPr>
              <w:t>32.41</w:t>
            </w:r>
          </w:p>
        </w:tc>
        <w:tc>
          <w:tcPr>
            <w:tcW w:w="0" w:type="auto"/>
            <w:tcBorders>
              <w:top w:val="single" w:sz="4" w:space="0" w:color="auto"/>
            </w:tcBorders>
          </w:tcPr>
          <w:p w14:paraId="04967812" w14:textId="77777777" w:rsidR="004540AE" w:rsidRPr="007F7CF1" w:rsidRDefault="004540AE" w:rsidP="00342BAA">
            <w:pPr>
              <w:jc w:val="right"/>
              <w:rPr>
                <w:rFonts w:ascii="Garamond" w:hAnsi="Garamond"/>
              </w:rPr>
            </w:pPr>
            <w:r>
              <w:rPr>
                <w:rFonts w:ascii="Garamond" w:hAnsi="Garamond"/>
              </w:rPr>
              <w:t>10.76</w:t>
            </w:r>
          </w:p>
        </w:tc>
        <w:tc>
          <w:tcPr>
            <w:tcW w:w="0" w:type="auto"/>
            <w:tcBorders>
              <w:top w:val="single" w:sz="4" w:space="0" w:color="auto"/>
            </w:tcBorders>
            <w:tcMar>
              <w:left w:w="0" w:type="dxa"/>
              <w:right w:w="115" w:type="dxa"/>
            </w:tcMar>
          </w:tcPr>
          <w:p w14:paraId="1B88EDD5" w14:textId="77777777" w:rsidR="004540AE" w:rsidRPr="007F7CF1" w:rsidRDefault="004540AE" w:rsidP="00342BAA">
            <w:pPr>
              <w:rPr>
                <w:rFonts w:ascii="Garamond" w:hAnsi="Garamond"/>
              </w:rPr>
            </w:pPr>
            <w:r>
              <w:rPr>
                <w:rFonts w:ascii="Garamond" w:hAnsi="Garamond"/>
              </w:rPr>
              <w:t>***</w:t>
            </w:r>
          </w:p>
        </w:tc>
        <w:tc>
          <w:tcPr>
            <w:tcW w:w="0" w:type="auto"/>
            <w:tcBorders>
              <w:top w:val="single" w:sz="4" w:space="0" w:color="auto"/>
            </w:tcBorders>
          </w:tcPr>
          <w:p w14:paraId="6F18CD0F" w14:textId="77777777" w:rsidR="004540AE" w:rsidRPr="007F7CF1" w:rsidRDefault="004540AE" w:rsidP="00342BAA">
            <w:pPr>
              <w:jc w:val="right"/>
              <w:rPr>
                <w:rFonts w:ascii="Garamond" w:hAnsi="Garamond"/>
              </w:rPr>
            </w:pPr>
            <w:r>
              <w:rPr>
                <w:rFonts w:ascii="Garamond" w:hAnsi="Garamond"/>
              </w:rPr>
              <w:t>1.57</w:t>
            </w:r>
          </w:p>
        </w:tc>
        <w:tc>
          <w:tcPr>
            <w:tcW w:w="0" w:type="auto"/>
            <w:tcBorders>
              <w:top w:val="single" w:sz="4" w:space="0" w:color="auto"/>
            </w:tcBorders>
          </w:tcPr>
          <w:p w14:paraId="257F99A2" w14:textId="77777777" w:rsidR="004540AE" w:rsidRPr="007F7CF1" w:rsidRDefault="004540AE" w:rsidP="00342BAA">
            <w:pPr>
              <w:jc w:val="right"/>
              <w:rPr>
                <w:rFonts w:ascii="Garamond" w:hAnsi="Garamond"/>
              </w:rPr>
            </w:pPr>
            <w:r>
              <w:rPr>
                <w:rFonts w:ascii="Garamond" w:hAnsi="Garamond"/>
              </w:rPr>
              <w:t>0.50</w:t>
            </w:r>
          </w:p>
        </w:tc>
        <w:tc>
          <w:tcPr>
            <w:tcW w:w="0" w:type="auto"/>
            <w:tcBorders>
              <w:top w:val="single" w:sz="4" w:space="0" w:color="auto"/>
            </w:tcBorders>
            <w:tcMar>
              <w:left w:w="0" w:type="dxa"/>
              <w:right w:w="115" w:type="dxa"/>
            </w:tcMar>
          </w:tcPr>
          <w:p w14:paraId="2B35A5F5" w14:textId="77777777" w:rsidR="004540AE" w:rsidRPr="007F7CF1" w:rsidRDefault="004540AE" w:rsidP="00342BAA">
            <w:pPr>
              <w:rPr>
                <w:rFonts w:ascii="Garamond" w:hAnsi="Garamond"/>
              </w:rPr>
            </w:pPr>
          </w:p>
        </w:tc>
      </w:tr>
      <w:tr w:rsidR="004540AE" w:rsidRPr="007F7CF1" w14:paraId="0E9E0122" w14:textId="77777777" w:rsidTr="00342BAA">
        <w:trPr>
          <w:trHeight w:val="177"/>
        </w:trPr>
        <w:tc>
          <w:tcPr>
            <w:tcW w:w="0" w:type="auto"/>
          </w:tcPr>
          <w:p w14:paraId="787004CE" w14:textId="77777777" w:rsidR="004540AE" w:rsidRPr="007F7CF1" w:rsidRDefault="004540AE" w:rsidP="00342BAA">
            <w:pPr>
              <w:jc w:val="right"/>
              <w:rPr>
                <w:rFonts w:ascii="Garamond" w:hAnsi="Garamond"/>
              </w:rPr>
            </w:pPr>
          </w:p>
        </w:tc>
        <w:tc>
          <w:tcPr>
            <w:tcW w:w="0" w:type="auto"/>
          </w:tcPr>
          <w:p w14:paraId="7C754579" w14:textId="77777777" w:rsidR="004540AE" w:rsidRPr="007F7CF1" w:rsidRDefault="004540AE" w:rsidP="00342BAA">
            <w:pPr>
              <w:jc w:val="right"/>
              <w:rPr>
                <w:rFonts w:ascii="Garamond" w:hAnsi="Garamond"/>
              </w:rPr>
            </w:pPr>
          </w:p>
        </w:tc>
        <w:tc>
          <w:tcPr>
            <w:tcW w:w="0" w:type="auto"/>
          </w:tcPr>
          <w:p w14:paraId="39F72FDD" w14:textId="77777777" w:rsidR="004540AE" w:rsidRPr="007F7CF1" w:rsidRDefault="004540AE" w:rsidP="00342BAA">
            <w:pPr>
              <w:jc w:val="right"/>
              <w:rPr>
                <w:rFonts w:ascii="Garamond" w:hAnsi="Garamond"/>
              </w:rPr>
            </w:pPr>
          </w:p>
        </w:tc>
        <w:tc>
          <w:tcPr>
            <w:tcW w:w="0" w:type="auto"/>
            <w:tcMar>
              <w:left w:w="0" w:type="dxa"/>
              <w:right w:w="115" w:type="dxa"/>
            </w:tcMar>
          </w:tcPr>
          <w:p w14:paraId="5AF40355" w14:textId="77777777" w:rsidR="004540AE" w:rsidRPr="007F7CF1" w:rsidRDefault="004540AE" w:rsidP="00342BAA">
            <w:pPr>
              <w:rPr>
                <w:rFonts w:ascii="Garamond" w:hAnsi="Garamond"/>
              </w:rPr>
            </w:pPr>
          </w:p>
        </w:tc>
        <w:tc>
          <w:tcPr>
            <w:tcW w:w="0" w:type="auto"/>
          </w:tcPr>
          <w:p w14:paraId="5E30A9BF" w14:textId="77777777" w:rsidR="004540AE" w:rsidRPr="007F7CF1" w:rsidRDefault="004540AE" w:rsidP="00342BAA">
            <w:pPr>
              <w:jc w:val="right"/>
              <w:rPr>
                <w:rFonts w:ascii="Garamond" w:hAnsi="Garamond"/>
              </w:rPr>
            </w:pPr>
          </w:p>
        </w:tc>
        <w:tc>
          <w:tcPr>
            <w:tcW w:w="0" w:type="auto"/>
          </w:tcPr>
          <w:p w14:paraId="0BECE460" w14:textId="77777777" w:rsidR="004540AE" w:rsidRPr="007F7CF1" w:rsidRDefault="004540AE" w:rsidP="00342BAA">
            <w:pPr>
              <w:jc w:val="right"/>
              <w:rPr>
                <w:rFonts w:ascii="Garamond" w:hAnsi="Garamond"/>
              </w:rPr>
            </w:pPr>
          </w:p>
        </w:tc>
        <w:tc>
          <w:tcPr>
            <w:tcW w:w="0" w:type="auto"/>
            <w:tcMar>
              <w:left w:w="0" w:type="dxa"/>
              <w:right w:w="115" w:type="dxa"/>
            </w:tcMar>
          </w:tcPr>
          <w:p w14:paraId="1A01DE24" w14:textId="77777777" w:rsidR="004540AE" w:rsidRPr="007F7CF1" w:rsidRDefault="004540AE" w:rsidP="00342BAA">
            <w:pPr>
              <w:rPr>
                <w:rFonts w:ascii="Garamond" w:hAnsi="Garamond"/>
              </w:rPr>
            </w:pPr>
          </w:p>
        </w:tc>
        <w:tc>
          <w:tcPr>
            <w:tcW w:w="0" w:type="auto"/>
          </w:tcPr>
          <w:p w14:paraId="54B3C572" w14:textId="77777777" w:rsidR="004540AE" w:rsidRPr="007F7CF1" w:rsidRDefault="004540AE" w:rsidP="00342BAA">
            <w:pPr>
              <w:jc w:val="right"/>
              <w:rPr>
                <w:rFonts w:ascii="Garamond" w:hAnsi="Garamond"/>
              </w:rPr>
            </w:pPr>
          </w:p>
        </w:tc>
        <w:tc>
          <w:tcPr>
            <w:tcW w:w="0" w:type="auto"/>
          </w:tcPr>
          <w:p w14:paraId="0FAA935D" w14:textId="77777777" w:rsidR="004540AE" w:rsidRPr="007F7CF1" w:rsidRDefault="004540AE" w:rsidP="00342BAA">
            <w:pPr>
              <w:jc w:val="right"/>
              <w:rPr>
                <w:rFonts w:ascii="Garamond" w:hAnsi="Garamond"/>
              </w:rPr>
            </w:pPr>
          </w:p>
        </w:tc>
        <w:tc>
          <w:tcPr>
            <w:tcW w:w="0" w:type="auto"/>
            <w:tcMar>
              <w:left w:w="0" w:type="dxa"/>
              <w:right w:w="115" w:type="dxa"/>
            </w:tcMar>
          </w:tcPr>
          <w:p w14:paraId="1DE40E4F" w14:textId="77777777" w:rsidR="004540AE" w:rsidRPr="007F7CF1" w:rsidRDefault="004540AE" w:rsidP="00342BAA">
            <w:pPr>
              <w:rPr>
                <w:rFonts w:ascii="Garamond" w:hAnsi="Garamond"/>
              </w:rPr>
            </w:pPr>
          </w:p>
        </w:tc>
        <w:tc>
          <w:tcPr>
            <w:tcW w:w="0" w:type="auto"/>
          </w:tcPr>
          <w:p w14:paraId="5105B707" w14:textId="77777777" w:rsidR="004540AE" w:rsidRPr="007F7CF1" w:rsidRDefault="004540AE" w:rsidP="00342BAA">
            <w:pPr>
              <w:jc w:val="right"/>
              <w:rPr>
                <w:rFonts w:ascii="Garamond" w:hAnsi="Garamond"/>
              </w:rPr>
            </w:pPr>
          </w:p>
        </w:tc>
        <w:tc>
          <w:tcPr>
            <w:tcW w:w="0" w:type="auto"/>
          </w:tcPr>
          <w:p w14:paraId="634B6893" w14:textId="77777777" w:rsidR="004540AE" w:rsidRPr="007F7CF1" w:rsidRDefault="004540AE" w:rsidP="00342BAA">
            <w:pPr>
              <w:jc w:val="right"/>
              <w:rPr>
                <w:rFonts w:ascii="Garamond" w:hAnsi="Garamond"/>
              </w:rPr>
            </w:pPr>
          </w:p>
        </w:tc>
        <w:tc>
          <w:tcPr>
            <w:tcW w:w="0" w:type="auto"/>
            <w:tcMar>
              <w:left w:w="0" w:type="dxa"/>
              <w:right w:w="115" w:type="dxa"/>
            </w:tcMar>
          </w:tcPr>
          <w:p w14:paraId="5EF7B1DB" w14:textId="77777777" w:rsidR="004540AE" w:rsidRPr="007F7CF1" w:rsidRDefault="004540AE" w:rsidP="00342BAA">
            <w:pPr>
              <w:rPr>
                <w:rFonts w:ascii="Garamond" w:hAnsi="Garamond"/>
              </w:rPr>
            </w:pPr>
          </w:p>
        </w:tc>
        <w:tc>
          <w:tcPr>
            <w:tcW w:w="0" w:type="auto"/>
            <w:gridSpan w:val="2"/>
          </w:tcPr>
          <w:p w14:paraId="5F6F1252" w14:textId="77777777" w:rsidR="004540AE" w:rsidRPr="007F7CF1" w:rsidRDefault="004540AE" w:rsidP="00342BAA">
            <w:pPr>
              <w:rPr>
                <w:rFonts w:ascii="Garamond" w:hAnsi="Garamond"/>
              </w:rPr>
            </w:pPr>
          </w:p>
        </w:tc>
        <w:tc>
          <w:tcPr>
            <w:tcW w:w="0" w:type="auto"/>
            <w:tcMar>
              <w:left w:w="0" w:type="dxa"/>
              <w:right w:w="115" w:type="dxa"/>
            </w:tcMar>
          </w:tcPr>
          <w:p w14:paraId="431EC5FB" w14:textId="77777777" w:rsidR="004540AE" w:rsidRPr="007F7CF1" w:rsidRDefault="004540AE" w:rsidP="00342BAA">
            <w:pPr>
              <w:rPr>
                <w:rFonts w:ascii="Garamond" w:hAnsi="Garamond"/>
              </w:rPr>
            </w:pPr>
          </w:p>
        </w:tc>
      </w:tr>
      <w:tr w:rsidR="004540AE" w:rsidRPr="007F7CF1" w14:paraId="07FD393D" w14:textId="77777777" w:rsidTr="00342BAA">
        <w:tc>
          <w:tcPr>
            <w:tcW w:w="0" w:type="auto"/>
          </w:tcPr>
          <w:p w14:paraId="5E9E2BBF" w14:textId="77777777" w:rsidR="004540AE" w:rsidRPr="007F7CF1" w:rsidRDefault="004540AE" w:rsidP="00342BAA">
            <w:pPr>
              <w:jc w:val="right"/>
              <w:rPr>
                <w:rFonts w:ascii="Garamond" w:hAnsi="Garamond"/>
              </w:rPr>
            </w:pPr>
            <w:r>
              <w:rPr>
                <w:rFonts w:ascii="Garamond" w:hAnsi="Garamond"/>
              </w:rPr>
              <w:t>Pseudo-R</w:t>
            </w:r>
            <w:r w:rsidRPr="002B4B58">
              <w:rPr>
                <w:rFonts w:ascii="Garamond" w:hAnsi="Garamond"/>
                <w:vertAlign w:val="superscript"/>
              </w:rPr>
              <w:t>2</w:t>
            </w:r>
          </w:p>
        </w:tc>
        <w:tc>
          <w:tcPr>
            <w:tcW w:w="0" w:type="auto"/>
            <w:gridSpan w:val="2"/>
          </w:tcPr>
          <w:p w14:paraId="750139A4" w14:textId="77777777" w:rsidR="004540AE" w:rsidRPr="007F7CF1" w:rsidRDefault="004540AE" w:rsidP="00342BAA">
            <w:pPr>
              <w:jc w:val="center"/>
              <w:rPr>
                <w:rFonts w:ascii="Garamond" w:hAnsi="Garamond"/>
              </w:rPr>
            </w:pPr>
            <w:r>
              <w:rPr>
                <w:rFonts w:ascii="Garamond" w:hAnsi="Garamond"/>
              </w:rPr>
              <w:t>0.04</w:t>
            </w:r>
          </w:p>
        </w:tc>
        <w:tc>
          <w:tcPr>
            <w:tcW w:w="0" w:type="auto"/>
            <w:tcMar>
              <w:left w:w="0" w:type="dxa"/>
              <w:right w:w="115" w:type="dxa"/>
            </w:tcMar>
          </w:tcPr>
          <w:p w14:paraId="4B0D4110" w14:textId="77777777" w:rsidR="004540AE" w:rsidRPr="007F7CF1" w:rsidRDefault="004540AE" w:rsidP="00342BAA">
            <w:pPr>
              <w:rPr>
                <w:rFonts w:ascii="Garamond" w:hAnsi="Garamond"/>
              </w:rPr>
            </w:pPr>
          </w:p>
        </w:tc>
        <w:tc>
          <w:tcPr>
            <w:tcW w:w="0" w:type="auto"/>
            <w:gridSpan w:val="2"/>
          </w:tcPr>
          <w:p w14:paraId="5685DFA6" w14:textId="77777777" w:rsidR="004540AE" w:rsidRPr="007F7CF1" w:rsidRDefault="004540AE" w:rsidP="00342BAA">
            <w:pPr>
              <w:jc w:val="center"/>
              <w:rPr>
                <w:rFonts w:ascii="Garamond" w:hAnsi="Garamond"/>
              </w:rPr>
            </w:pPr>
            <w:r>
              <w:rPr>
                <w:rFonts w:ascii="Garamond" w:hAnsi="Garamond"/>
              </w:rPr>
              <w:t>0.06</w:t>
            </w:r>
          </w:p>
        </w:tc>
        <w:tc>
          <w:tcPr>
            <w:tcW w:w="0" w:type="auto"/>
            <w:tcMar>
              <w:left w:w="0" w:type="dxa"/>
              <w:right w:w="115" w:type="dxa"/>
            </w:tcMar>
          </w:tcPr>
          <w:p w14:paraId="68E1BF2A" w14:textId="77777777" w:rsidR="004540AE" w:rsidRPr="007F7CF1" w:rsidRDefault="004540AE" w:rsidP="00342BAA">
            <w:pPr>
              <w:rPr>
                <w:rFonts w:ascii="Garamond" w:hAnsi="Garamond"/>
              </w:rPr>
            </w:pPr>
          </w:p>
        </w:tc>
        <w:tc>
          <w:tcPr>
            <w:tcW w:w="0" w:type="auto"/>
            <w:gridSpan w:val="2"/>
          </w:tcPr>
          <w:p w14:paraId="376FA29F" w14:textId="77777777" w:rsidR="004540AE" w:rsidRPr="007F7CF1" w:rsidRDefault="004540AE" w:rsidP="00342BAA">
            <w:pPr>
              <w:jc w:val="center"/>
              <w:rPr>
                <w:rFonts w:ascii="Garamond" w:hAnsi="Garamond"/>
              </w:rPr>
            </w:pPr>
            <w:r>
              <w:rPr>
                <w:rFonts w:ascii="Garamond" w:hAnsi="Garamond"/>
              </w:rPr>
              <w:t>0.02</w:t>
            </w:r>
          </w:p>
        </w:tc>
        <w:tc>
          <w:tcPr>
            <w:tcW w:w="0" w:type="auto"/>
            <w:tcMar>
              <w:left w:w="0" w:type="dxa"/>
              <w:right w:w="115" w:type="dxa"/>
            </w:tcMar>
          </w:tcPr>
          <w:p w14:paraId="50BE8AF9" w14:textId="77777777" w:rsidR="004540AE" w:rsidRPr="007F7CF1" w:rsidRDefault="004540AE" w:rsidP="00342BAA">
            <w:pPr>
              <w:rPr>
                <w:rFonts w:ascii="Garamond" w:hAnsi="Garamond"/>
              </w:rPr>
            </w:pPr>
          </w:p>
        </w:tc>
        <w:tc>
          <w:tcPr>
            <w:tcW w:w="0" w:type="auto"/>
            <w:gridSpan w:val="2"/>
          </w:tcPr>
          <w:p w14:paraId="38E64ACC" w14:textId="77777777" w:rsidR="004540AE" w:rsidRPr="007F7CF1" w:rsidRDefault="004540AE" w:rsidP="00342BAA">
            <w:pPr>
              <w:jc w:val="center"/>
              <w:rPr>
                <w:rFonts w:ascii="Garamond" w:hAnsi="Garamond"/>
              </w:rPr>
            </w:pPr>
            <w:r>
              <w:rPr>
                <w:rFonts w:ascii="Garamond" w:hAnsi="Garamond"/>
              </w:rPr>
              <w:t>0.04</w:t>
            </w:r>
          </w:p>
        </w:tc>
        <w:tc>
          <w:tcPr>
            <w:tcW w:w="0" w:type="auto"/>
            <w:tcMar>
              <w:left w:w="0" w:type="dxa"/>
              <w:right w:w="115" w:type="dxa"/>
            </w:tcMar>
          </w:tcPr>
          <w:p w14:paraId="75D053DD" w14:textId="77777777" w:rsidR="004540AE" w:rsidRPr="007F7CF1" w:rsidRDefault="004540AE" w:rsidP="00342BAA">
            <w:pPr>
              <w:rPr>
                <w:rFonts w:ascii="Garamond" w:hAnsi="Garamond"/>
              </w:rPr>
            </w:pPr>
          </w:p>
        </w:tc>
        <w:tc>
          <w:tcPr>
            <w:tcW w:w="0" w:type="auto"/>
            <w:gridSpan w:val="2"/>
          </w:tcPr>
          <w:p w14:paraId="542E4ABB" w14:textId="77777777" w:rsidR="004540AE" w:rsidRPr="007F7CF1" w:rsidRDefault="004540AE" w:rsidP="00342BAA">
            <w:pPr>
              <w:jc w:val="center"/>
              <w:rPr>
                <w:rFonts w:ascii="Garamond" w:hAnsi="Garamond"/>
              </w:rPr>
            </w:pPr>
            <w:r>
              <w:rPr>
                <w:rFonts w:ascii="Garamond" w:hAnsi="Garamond"/>
              </w:rPr>
              <w:t>0.00</w:t>
            </w:r>
          </w:p>
        </w:tc>
        <w:tc>
          <w:tcPr>
            <w:tcW w:w="0" w:type="auto"/>
          </w:tcPr>
          <w:p w14:paraId="0EF5D51C" w14:textId="77777777" w:rsidR="004540AE" w:rsidRPr="007F7CF1" w:rsidRDefault="004540AE" w:rsidP="00342BAA">
            <w:pPr>
              <w:jc w:val="center"/>
              <w:rPr>
                <w:rFonts w:ascii="Garamond" w:hAnsi="Garamond"/>
              </w:rPr>
            </w:pPr>
          </w:p>
        </w:tc>
      </w:tr>
      <w:tr w:rsidR="004540AE" w:rsidRPr="007F7CF1" w14:paraId="44E06E20" w14:textId="77777777" w:rsidTr="00342BAA">
        <w:tc>
          <w:tcPr>
            <w:tcW w:w="0" w:type="auto"/>
          </w:tcPr>
          <w:p w14:paraId="18899721" w14:textId="77777777" w:rsidR="004540AE" w:rsidRPr="007F7CF1" w:rsidRDefault="004540AE" w:rsidP="00342BAA">
            <w:pPr>
              <w:jc w:val="right"/>
              <w:rPr>
                <w:rFonts w:ascii="Garamond" w:hAnsi="Garamond"/>
              </w:rPr>
            </w:pPr>
            <w:r>
              <w:rPr>
                <w:rFonts w:ascii="Garamond" w:hAnsi="Garamond"/>
              </w:rPr>
              <w:t>AIC</w:t>
            </w:r>
          </w:p>
        </w:tc>
        <w:tc>
          <w:tcPr>
            <w:tcW w:w="0" w:type="auto"/>
            <w:gridSpan w:val="2"/>
          </w:tcPr>
          <w:p w14:paraId="717788C7" w14:textId="77777777" w:rsidR="004540AE" w:rsidRPr="007F7CF1" w:rsidRDefault="004540AE" w:rsidP="00342BAA">
            <w:pPr>
              <w:jc w:val="center"/>
              <w:rPr>
                <w:rFonts w:ascii="Garamond" w:hAnsi="Garamond"/>
              </w:rPr>
            </w:pPr>
            <w:r>
              <w:rPr>
                <w:rFonts w:ascii="Garamond" w:hAnsi="Garamond"/>
              </w:rPr>
              <w:t>49,298.07</w:t>
            </w:r>
          </w:p>
        </w:tc>
        <w:tc>
          <w:tcPr>
            <w:tcW w:w="0" w:type="auto"/>
            <w:tcMar>
              <w:left w:w="0" w:type="dxa"/>
              <w:right w:w="115" w:type="dxa"/>
            </w:tcMar>
          </w:tcPr>
          <w:p w14:paraId="11C7388D" w14:textId="77777777" w:rsidR="004540AE" w:rsidRPr="007F7CF1" w:rsidRDefault="004540AE" w:rsidP="00342BAA">
            <w:pPr>
              <w:rPr>
                <w:rFonts w:ascii="Garamond" w:hAnsi="Garamond"/>
              </w:rPr>
            </w:pPr>
          </w:p>
        </w:tc>
        <w:tc>
          <w:tcPr>
            <w:tcW w:w="0" w:type="auto"/>
            <w:gridSpan w:val="2"/>
          </w:tcPr>
          <w:p w14:paraId="22D12F40" w14:textId="77777777" w:rsidR="004540AE" w:rsidRPr="007F7CF1" w:rsidRDefault="004540AE" w:rsidP="00342BAA">
            <w:pPr>
              <w:jc w:val="center"/>
              <w:rPr>
                <w:rFonts w:ascii="Garamond" w:hAnsi="Garamond"/>
              </w:rPr>
            </w:pPr>
            <w:r>
              <w:rPr>
                <w:rFonts w:ascii="Garamond" w:hAnsi="Garamond"/>
              </w:rPr>
              <w:t>48,336.92</w:t>
            </w:r>
          </w:p>
        </w:tc>
        <w:tc>
          <w:tcPr>
            <w:tcW w:w="0" w:type="auto"/>
            <w:tcMar>
              <w:left w:w="0" w:type="dxa"/>
              <w:right w:w="115" w:type="dxa"/>
            </w:tcMar>
          </w:tcPr>
          <w:p w14:paraId="4E0E5C4D" w14:textId="77777777" w:rsidR="004540AE" w:rsidRPr="007F7CF1" w:rsidRDefault="004540AE" w:rsidP="00342BAA">
            <w:pPr>
              <w:rPr>
                <w:rFonts w:ascii="Garamond" w:hAnsi="Garamond"/>
              </w:rPr>
            </w:pPr>
          </w:p>
        </w:tc>
        <w:tc>
          <w:tcPr>
            <w:tcW w:w="0" w:type="auto"/>
            <w:gridSpan w:val="2"/>
          </w:tcPr>
          <w:p w14:paraId="17F7DCB4" w14:textId="77777777" w:rsidR="004540AE" w:rsidRPr="007F7CF1" w:rsidRDefault="004540AE" w:rsidP="00342BAA">
            <w:pPr>
              <w:jc w:val="center"/>
              <w:rPr>
                <w:rFonts w:ascii="Garamond" w:hAnsi="Garamond"/>
              </w:rPr>
            </w:pPr>
            <w:r>
              <w:rPr>
                <w:rFonts w:ascii="Garamond" w:hAnsi="Garamond"/>
              </w:rPr>
              <w:t>50,592.00</w:t>
            </w:r>
          </w:p>
        </w:tc>
        <w:tc>
          <w:tcPr>
            <w:tcW w:w="0" w:type="auto"/>
            <w:tcMar>
              <w:left w:w="0" w:type="dxa"/>
              <w:right w:w="115" w:type="dxa"/>
            </w:tcMar>
          </w:tcPr>
          <w:p w14:paraId="1ADA99FE" w14:textId="77777777" w:rsidR="004540AE" w:rsidRPr="007F7CF1" w:rsidRDefault="004540AE" w:rsidP="00342BAA">
            <w:pPr>
              <w:rPr>
                <w:rFonts w:ascii="Garamond" w:hAnsi="Garamond"/>
              </w:rPr>
            </w:pPr>
          </w:p>
        </w:tc>
        <w:tc>
          <w:tcPr>
            <w:tcW w:w="0" w:type="auto"/>
            <w:gridSpan w:val="2"/>
          </w:tcPr>
          <w:p w14:paraId="4F526C61" w14:textId="77777777" w:rsidR="004540AE" w:rsidRPr="007F7CF1" w:rsidRDefault="004540AE" w:rsidP="00342BAA">
            <w:pPr>
              <w:jc w:val="center"/>
              <w:rPr>
                <w:rFonts w:ascii="Garamond" w:hAnsi="Garamond"/>
              </w:rPr>
            </w:pPr>
            <w:r>
              <w:rPr>
                <w:rFonts w:ascii="Garamond" w:hAnsi="Garamond"/>
              </w:rPr>
              <w:t>49,189.14</w:t>
            </w:r>
          </w:p>
        </w:tc>
        <w:tc>
          <w:tcPr>
            <w:tcW w:w="0" w:type="auto"/>
            <w:tcMar>
              <w:left w:w="0" w:type="dxa"/>
              <w:right w:w="115" w:type="dxa"/>
            </w:tcMar>
          </w:tcPr>
          <w:p w14:paraId="2814AD8A" w14:textId="77777777" w:rsidR="004540AE" w:rsidRPr="007F7CF1" w:rsidRDefault="004540AE" w:rsidP="00342BAA">
            <w:pPr>
              <w:rPr>
                <w:rFonts w:ascii="Garamond" w:hAnsi="Garamond"/>
              </w:rPr>
            </w:pPr>
          </w:p>
        </w:tc>
        <w:tc>
          <w:tcPr>
            <w:tcW w:w="0" w:type="auto"/>
            <w:gridSpan w:val="2"/>
          </w:tcPr>
          <w:p w14:paraId="3C525AFA" w14:textId="77777777" w:rsidR="004540AE" w:rsidRPr="007F7CF1" w:rsidRDefault="004540AE" w:rsidP="00342BAA">
            <w:pPr>
              <w:jc w:val="center"/>
              <w:rPr>
                <w:rFonts w:ascii="Garamond" w:hAnsi="Garamond"/>
              </w:rPr>
            </w:pPr>
            <w:r>
              <w:rPr>
                <w:rFonts w:ascii="Garamond" w:hAnsi="Garamond"/>
              </w:rPr>
              <w:t>51,357</w:t>
            </w:r>
          </w:p>
        </w:tc>
        <w:tc>
          <w:tcPr>
            <w:tcW w:w="0" w:type="auto"/>
          </w:tcPr>
          <w:p w14:paraId="3E790C7A" w14:textId="77777777" w:rsidR="004540AE" w:rsidRPr="007F7CF1" w:rsidRDefault="004540AE" w:rsidP="00342BAA">
            <w:pPr>
              <w:jc w:val="center"/>
              <w:rPr>
                <w:rFonts w:ascii="Garamond" w:hAnsi="Garamond"/>
              </w:rPr>
            </w:pPr>
          </w:p>
        </w:tc>
      </w:tr>
      <w:tr w:rsidR="004540AE" w:rsidRPr="007F7CF1" w14:paraId="28071476" w14:textId="77777777" w:rsidTr="00342BAA">
        <w:tc>
          <w:tcPr>
            <w:tcW w:w="0" w:type="auto"/>
            <w:tcBorders>
              <w:bottom w:val="single" w:sz="4" w:space="0" w:color="auto"/>
            </w:tcBorders>
          </w:tcPr>
          <w:p w14:paraId="70ED983D" w14:textId="77777777" w:rsidR="004540AE" w:rsidRDefault="004540AE" w:rsidP="00342BAA">
            <w:pPr>
              <w:jc w:val="right"/>
              <w:rPr>
                <w:rFonts w:ascii="Garamond" w:hAnsi="Garamond"/>
              </w:rPr>
            </w:pPr>
            <w:r>
              <w:rPr>
                <w:rFonts w:ascii="Garamond" w:hAnsi="Garamond"/>
              </w:rPr>
              <w:t>BIC</w:t>
            </w:r>
          </w:p>
        </w:tc>
        <w:tc>
          <w:tcPr>
            <w:tcW w:w="0" w:type="auto"/>
            <w:gridSpan w:val="2"/>
            <w:tcBorders>
              <w:bottom w:val="single" w:sz="4" w:space="0" w:color="auto"/>
            </w:tcBorders>
          </w:tcPr>
          <w:p w14:paraId="65F65B76" w14:textId="77777777" w:rsidR="004540AE" w:rsidRPr="007F7CF1" w:rsidRDefault="004540AE" w:rsidP="00342BAA">
            <w:pPr>
              <w:jc w:val="center"/>
              <w:rPr>
                <w:rFonts w:ascii="Garamond" w:hAnsi="Garamond"/>
              </w:rPr>
            </w:pPr>
            <w:r>
              <w:rPr>
                <w:rFonts w:ascii="Garamond" w:hAnsi="Garamond"/>
              </w:rPr>
              <w:t>49,320.55</w:t>
            </w:r>
          </w:p>
        </w:tc>
        <w:tc>
          <w:tcPr>
            <w:tcW w:w="0" w:type="auto"/>
            <w:tcBorders>
              <w:bottom w:val="single" w:sz="4" w:space="0" w:color="auto"/>
            </w:tcBorders>
            <w:tcMar>
              <w:left w:w="0" w:type="dxa"/>
              <w:right w:w="115" w:type="dxa"/>
            </w:tcMar>
          </w:tcPr>
          <w:p w14:paraId="371FAF16" w14:textId="77777777" w:rsidR="004540AE" w:rsidRPr="007F7CF1" w:rsidRDefault="004540AE" w:rsidP="00342BAA">
            <w:pPr>
              <w:rPr>
                <w:rFonts w:ascii="Garamond" w:hAnsi="Garamond"/>
              </w:rPr>
            </w:pPr>
          </w:p>
        </w:tc>
        <w:tc>
          <w:tcPr>
            <w:tcW w:w="0" w:type="auto"/>
            <w:gridSpan w:val="2"/>
            <w:tcBorders>
              <w:bottom w:val="single" w:sz="4" w:space="0" w:color="auto"/>
            </w:tcBorders>
          </w:tcPr>
          <w:p w14:paraId="558CA413" w14:textId="77777777" w:rsidR="004540AE" w:rsidRPr="007F7CF1" w:rsidRDefault="004540AE" w:rsidP="00342BAA">
            <w:pPr>
              <w:jc w:val="center"/>
              <w:rPr>
                <w:rFonts w:ascii="Garamond" w:hAnsi="Garamond"/>
              </w:rPr>
            </w:pPr>
            <w:r>
              <w:rPr>
                <w:rFonts w:ascii="Garamond" w:hAnsi="Garamond"/>
              </w:rPr>
              <w:t>48,359.40</w:t>
            </w:r>
          </w:p>
        </w:tc>
        <w:tc>
          <w:tcPr>
            <w:tcW w:w="0" w:type="auto"/>
            <w:tcBorders>
              <w:bottom w:val="single" w:sz="4" w:space="0" w:color="auto"/>
            </w:tcBorders>
            <w:tcMar>
              <w:left w:w="0" w:type="dxa"/>
              <w:right w:w="115" w:type="dxa"/>
            </w:tcMar>
          </w:tcPr>
          <w:p w14:paraId="0F7F58E1" w14:textId="77777777" w:rsidR="004540AE" w:rsidRPr="007F7CF1" w:rsidRDefault="004540AE" w:rsidP="00342BAA">
            <w:pPr>
              <w:rPr>
                <w:rFonts w:ascii="Garamond" w:hAnsi="Garamond"/>
              </w:rPr>
            </w:pPr>
          </w:p>
        </w:tc>
        <w:tc>
          <w:tcPr>
            <w:tcW w:w="0" w:type="auto"/>
            <w:gridSpan w:val="2"/>
            <w:tcBorders>
              <w:bottom w:val="single" w:sz="4" w:space="0" w:color="auto"/>
            </w:tcBorders>
          </w:tcPr>
          <w:p w14:paraId="23815967" w14:textId="77777777" w:rsidR="004540AE" w:rsidRPr="007F7CF1" w:rsidRDefault="004540AE" w:rsidP="00342BAA">
            <w:pPr>
              <w:jc w:val="center"/>
              <w:rPr>
                <w:rFonts w:ascii="Garamond" w:hAnsi="Garamond"/>
              </w:rPr>
            </w:pPr>
            <w:r>
              <w:rPr>
                <w:rFonts w:ascii="Garamond" w:hAnsi="Garamond"/>
              </w:rPr>
              <w:t>50,614.48</w:t>
            </w:r>
          </w:p>
        </w:tc>
        <w:tc>
          <w:tcPr>
            <w:tcW w:w="0" w:type="auto"/>
            <w:tcBorders>
              <w:bottom w:val="single" w:sz="4" w:space="0" w:color="auto"/>
            </w:tcBorders>
            <w:tcMar>
              <w:left w:w="0" w:type="dxa"/>
              <w:right w:w="115" w:type="dxa"/>
            </w:tcMar>
          </w:tcPr>
          <w:p w14:paraId="344F7798" w14:textId="77777777" w:rsidR="004540AE" w:rsidRPr="007F7CF1" w:rsidRDefault="004540AE" w:rsidP="00342BAA">
            <w:pPr>
              <w:rPr>
                <w:rFonts w:ascii="Garamond" w:hAnsi="Garamond"/>
              </w:rPr>
            </w:pPr>
          </w:p>
        </w:tc>
        <w:tc>
          <w:tcPr>
            <w:tcW w:w="0" w:type="auto"/>
            <w:gridSpan w:val="2"/>
            <w:tcBorders>
              <w:bottom w:val="single" w:sz="4" w:space="0" w:color="auto"/>
            </w:tcBorders>
          </w:tcPr>
          <w:p w14:paraId="67ABDE61" w14:textId="77777777" w:rsidR="004540AE" w:rsidRPr="007F7CF1" w:rsidRDefault="004540AE" w:rsidP="00342BAA">
            <w:pPr>
              <w:jc w:val="center"/>
              <w:rPr>
                <w:rFonts w:ascii="Garamond" w:hAnsi="Garamond"/>
              </w:rPr>
            </w:pPr>
            <w:r>
              <w:rPr>
                <w:rFonts w:ascii="Garamond" w:hAnsi="Garamond"/>
              </w:rPr>
              <w:t>49,211.62</w:t>
            </w:r>
          </w:p>
        </w:tc>
        <w:tc>
          <w:tcPr>
            <w:tcW w:w="0" w:type="auto"/>
            <w:tcBorders>
              <w:bottom w:val="single" w:sz="4" w:space="0" w:color="auto"/>
            </w:tcBorders>
            <w:tcMar>
              <w:left w:w="0" w:type="dxa"/>
              <w:right w:w="115" w:type="dxa"/>
            </w:tcMar>
          </w:tcPr>
          <w:p w14:paraId="477F191D" w14:textId="77777777" w:rsidR="004540AE" w:rsidRPr="007F7CF1" w:rsidRDefault="004540AE" w:rsidP="00342BAA">
            <w:pPr>
              <w:rPr>
                <w:rFonts w:ascii="Garamond" w:hAnsi="Garamond"/>
              </w:rPr>
            </w:pPr>
          </w:p>
        </w:tc>
        <w:tc>
          <w:tcPr>
            <w:tcW w:w="0" w:type="auto"/>
            <w:gridSpan w:val="2"/>
            <w:tcBorders>
              <w:bottom w:val="single" w:sz="4" w:space="0" w:color="auto"/>
            </w:tcBorders>
          </w:tcPr>
          <w:p w14:paraId="71F33A42" w14:textId="77777777" w:rsidR="004540AE" w:rsidRPr="007F7CF1" w:rsidRDefault="004540AE" w:rsidP="00342BAA">
            <w:pPr>
              <w:jc w:val="center"/>
              <w:rPr>
                <w:rFonts w:ascii="Garamond" w:hAnsi="Garamond"/>
              </w:rPr>
            </w:pPr>
            <w:r>
              <w:rPr>
                <w:rFonts w:ascii="Garamond" w:hAnsi="Garamond"/>
              </w:rPr>
              <w:t>51,380.17</w:t>
            </w:r>
          </w:p>
        </w:tc>
        <w:tc>
          <w:tcPr>
            <w:tcW w:w="0" w:type="auto"/>
            <w:tcBorders>
              <w:bottom w:val="single" w:sz="4" w:space="0" w:color="auto"/>
            </w:tcBorders>
          </w:tcPr>
          <w:p w14:paraId="1B0EF62E" w14:textId="77777777" w:rsidR="004540AE" w:rsidRPr="007F7CF1" w:rsidRDefault="004540AE" w:rsidP="00342BAA">
            <w:pPr>
              <w:jc w:val="center"/>
              <w:rPr>
                <w:rFonts w:ascii="Garamond" w:hAnsi="Garamond"/>
              </w:rPr>
            </w:pPr>
          </w:p>
        </w:tc>
      </w:tr>
      <w:tr w:rsidR="004540AE" w:rsidRPr="007F7CF1" w14:paraId="4E9AB5B8" w14:textId="77777777" w:rsidTr="00342BAA">
        <w:tc>
          <w:tcPr>
            <w:tcW w:w="0" w:type="auto"/>
            <w:gridSpan w:val="16"/>
            <w:tcBorders>
              <w:top w:val="single" w:sz="4" w:space="0" w:color="auto"/>
            </w:tcBorders>
          </w:tcPr>
          <w:p w14:paraId="32A8ACDD" w14:textId="77777777" w:rsidR="004540AE" w:rsidRDefault="004540AE" w:rsidP="00342BAA">
            <w:pPr>
              <w:rPr>
                <w:rFonts w:ascii="Garamond" w:hAnsi="Garamond"/>
              </w:rPr>
            </w:pPr>
            <w:r>
              <w:rPr>
                <w:rFonts w:ascii="Garamond" w:hAnsi="Garamond"/>
              </w:rPr>
              <w:t xml:space="preserve">Source: American Violence Project; American Community Survey 2018-2022 5-year estimates; </w:t>
            </w:r>
          </w:p>
          <w:p w14:paraId="0BFC6465" w14:textId="77777777" w:rsidR="004540AE" w:rsidRDefault="004540AE" w:rsidP="00342BAA">
            <w:pPr>
              <w:rPr>
                <w:rFonts w:ascii="Garamond" w:hAnsi="Garamond"/>
              </w:rPr>
            </w:pPr>
            <w:r>
              <w:rPr>
                <w:rFonts w:ascii="Garamond" w:hAnsi="Garamond"/>
              </w:rPr>
              <w:t>CDC Social Vulnerability Index</w:t>
            </w:r>
          </w:p>
          <w:p w14:paraId="6CA41C74" w14:textId="77777777" w:rsidR="004540AE" w:rsidRDefault="004540AE" w:rsidP="00342BAA">
            <w:pPr>
              <w:rPr>
                <w:rFonts w:ascii="Garamond" w:hAnsi="Garamond"/>
              </w:rPr>
            </w:pPr>
            <w:r>
              <w:rPr>
                <w:rFonts w:ascii="Garamond" w:hAnsi="Garamond"/>
              </w:rPr>
              <w:t>Notes: Standard errors adjusted for clustering in 84 cities; Incident-rate ratios presented</w:t>
            </w:r>
          </w:p>
          <w:p w14:paraId="6EE47CF5" w14:textId="77777777" w:rsidR="004540AE" w:rsidRDefault="004540AE" w:rsidP="00342BAA">
            <w:pPr>
              <w:rPr>
                <w:rFonts w:ascii="Garamond" w:hAnsi="Garamond"/>
              </w:rPr>
            </w:pPr>
            <w:r>
              <w:rPr>
                <w:rFonts w:ascii="Garamond" w:hAnsi="Garamond"/>
              </w:rPr>
              <w:t>*p&lt;0.05; **p&lt;0.01; ***p&lt;0.001</w:t>
            </w:r>
          </w:p>
        </w:tc>
      </w:tr>
    </w:tbl>
    <w:p w14:paraId="203A3148" w14:textId="77777777" w:rsidR="004540AE" w:rsidRDefault="004540AE" w:rsidP="004540AE"/>
    <w:p w14:paraId="73815E09" w14:textId="77777777" w:rsidR="004540AE" w:rsidRDefault="004540AE" w:rsidP="004540AE"/>
    <w:p w14:paraId="45017907" w14:textId="77777777" w:rsidR="004540AE" w:rsidRDefault="004540AE" w:rsidP="004540AE"/>
    <w:p w14:paraId="648CE1D3" w14:textId="77777777" w:rsidR="004540AE" w:rsidRDefault="004540AE" w:rsidP="004540AE"/>
    <w:p w14:paraId="0BC04528" w14:textId="77777777" w:rsidR="004540AE" w:rsidRDefault="004540AE" w:rsidP="004540AE"/>
    <w:p w14:paraId="6A29B96A" w14:textId="77777777" w:rsidR="004540AE" w:rsidRDefault="004540AE" w:rsidP="004540AE"/>
    <w:p w14:paraId="5DBB05F3" w14:textId="77777777" w:rsidR="004540AE" w:rsidRDefault="004540AE" w:rsidP="004540AE"/>
    <w:p w14:paraId="6AE03170" w14:textId="77777777" w:rsidR="004540AE" w:rsidRDefault="004540AE" w:rsidP="004540AE"/>
    <w:p w14:paraId="35D580B0" w14:textId="77777777" w:rsidR="004540AE" w:rsidRDefault="004540AE" w:rsidP="004540AE"/>
    <w:p w14:paraId="5AB6A219" w14:textId="77777777" w:rsidR="004540AE" w:rsidRDefault="004540AE" w:rsidP="004540A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8"/>
        <w:gridCol w:w="814"/>
        <w:gridCol w:w="814"/>
        <w:gridCol w:w="568"/>
        <w:gridCol w:w="814"/>
        <w:gridCol w:w="814"/>
        <w:gridCol w:w="568"/>
      </w:tblGrid>
      <w:tr w:rsidR="004540AE" w:rsidRPr="007F7CF1" w14:paraId="56029FAB" w14:textId="77777777" w:rsidTr="00DF3074">
        <w:tc>
          <w:tcPr>
            <w:tcW w:w="5990" w:type="dxa"/>
            <w:gridSpan w:val="7"/>
            <w:tcBorders>
              <w:bottom w:val="double" w:sz="4" w:space="0" w:color="auto"/>
            </w:tcBorders>
          </w:tcPr>
          <w:p w14:paraId="2B7581D5" w14:textId="77777777" w:rsidR="004540AE" w:rsidRDefault="004540AE" w:rsidP="00342BAA">
            <w:pPr>
              <w:rPr>
                <w:rFonts w:ascii="Garamond" w:hAnsi="Garamond"/>
              </w:rPr>
            </w:pPr>
            <w:r>
              <w:rPr>
                <w:rFonts w:ascii="Garamond" w:hAnsi="Garamond"/>
              </w:rPr>
              <w:lastRenderedPageBreak/>
              <w:t>Table 3: Negative Binomial Regression of Firearm Homicide Counts on tract-level CDI Standardized to National, State, and City-level (N = 13,268 tracts)</w:t>
            </w:r>
          </w:p>
        </w:tc>
      </w:tr>
      <w:tr w:rsidR="00DF3074" w:rsidRPr="007F7CF1" w14:paraId="4968601B" w14:textId="77777777" w:rsidTr="00342BAA">
        <w:tc>
          <w:tcPr>
            <w:tcW w:w="0" w:type="auto"/>
            <w:tcBorders>
              <w:top w:val="double" w:sz="4" w:space="0" w:color="auto"/>
            </w:tcBorders>
          </w:tcPr>
          <w:p w14:paraId="3DB4546A" w14:textId="77777777" w:rsidR="00DF3074" w:rsidRPr="007F7CF1" w:rsidRDefault="00DF3074" w:rsidP="00342BAA">
            <w:pPr>
              <w:rPr>
                <w:rFonts w:ascii="Garamond" w:hAnsi="Garamond"/>
              </w:rPr>
            </w:pPr>
          </w:p>
        </w:tc>
        <w:tc>
          <w:tcPr>
            <w:tcW w:w="0" w:type="auto"/>
            <w:gridSpan w:val="3"/>
            <w:tcBorders>
              <w:top w:val="double" w:sz="4" w:space="0" w:color="auto"/>
              <w:bottom w:val="single" w:sz="4" w:space="0" w:color="auto"/>
            </w:tcBorders>
          </w:tcPr>
          <w:p w14:paraId="4A17328F" w14:textId="77777777" w:rsidR="00DF3074" w:rsidRPr="007F7CF1" w:rsidRDefault="00DF3074" w:rsidP="00342BAA">
            <w:pPr>
              <w:jc w:val="center"/>
              <w:rPr>
                <w:rFonts w:ascii="Garamond" w:hAnsi="Garamond"/>
              </w:rPr>
            </w:pPr>
            <w:r>
              <w:rPr>
                <w:rFonts w:ascii="Garamond" w:hAnsi="Garamond"/>
              </w:rPr>
              <w:t>Model 6</w:t>
            </w:r>
          </w:p>
        </w:tc>
        <w:tc>
          <w:tcPr>
            <w:tcW w:w="0" w:type="auto"/>
            <w:gridSpan w:val="3"/>
            <w:tcBorders>
              <w:top w:val="double" w:sz="4" w:space="0" w:color="auto"/>
              <w:bottom w:val="single" w:sz="4" w:space="0" w:color="auto"/>
            </w:tcBorders>
          </w:tcPr>
          <w:p w14:paraId="76FB7FCC" w14:textId="77777777" w:rsidR="00DF3074" w:rsidRPr="007F7CF1" w:rsidRDefault="00DF3074" w:rsidP="00342BAA">
            <w:pPr>
              <w:jc w:val="center"/>
              <w:rPr>
                <w:rFonts w:ascii="Garamond" w:hAnsi="Garamond"/>
              </w:rPr>
            </w:pPr>
            <w:r>
              <w:rPr>
                <w:rFonts w:ascii="Garamond" w:hAnsi="Garamond"/>
              </w:rPr>
              <w:t>Model 7</w:t>
            </w:r>
          </w:p>
        </w:tc>
      </w:tr>
      <w:tr w:rsidR="00DF3074" w:rsidRPr="007F7CF1" w14:paraId="10876C82" w14:textId="77777777" w:rsidTr="00342BAA">
        <w:tc>
          <w:tcPr>
            <w:tcW w:w="0" w:type="auto"/>
            <w:tcBorders>
              <w:top w:val="single" w:sz="4" w:space="0" w:color="auto"/>
            </w:tcBorders>
          </w:tcPr>
          <w:p w14:paraId="443BBA55" w14:textId="77777777" w:rsidR="00DF3074" w:rsidRPr="007F7CF1" w:rsidRDefault="00DF3074" w:rsidP="00342BAA">
            <w:pPr>
              <w:jc w:val="right"/>
              <w:rPr>
                <w:rFonts w:ascii="Garamond" w:hAnsi="Garamond"/>
              </w:rPr>
            </w:pPr>
          </w:p>
        </w:tc>
        <w:tc>
          <w:tcPr>
            <w:tcW w:w="0" w:type="auto"/>
            <w:gridSpan w:val="3"/>
            <w:tcBorders>
              <w:top w:val="single" w:sz="4" w:space="0" w:color="auto"/>
              <w:bottom w:val="single" w:sz="4" w:space="0" w:color="auto"/>
            </w:tcBorders>
          </w:tcPr>
          <w:p w14:paraId="42683681" w14:textId="77777777" w:rsidR="00DF3074" w:rsidRPr="007F7CF1" w:rsidRDefault="00DF3074" w:rsidP="00342BAA">
            <w:pPr>
              <w:jc w:val="center"/>
              <w:rPr>
                <w:rFonts w:ascii="Garamond" w:hAnsi="Garamond"/>
              </w:rPr>
            </w:pPr>
            <w:r>
              <w:rPr>
                <w:rFonts w:ascii="Garamond" w:hAnsi="Garamond"/>
              </w:rPr>
              <w:t xml:space="preserve">National </w:t>
            </w:r>
          </w:p>
        </w:tc>
        <w:tc>
          <w:tcPr>
            <w:tcW w:w="0" w:type="auto"/>
            <w:gridSpan w:val="3"/>
            <w:tcBorders>
              <w:top w:val="single" w:sz="4" w:space="0" w:color="auto"/>
              <w:bottom w:val="single" w:sz="4" w:space="0" w:color="auto"/>
            </w:tcBorders>
          </w:tcPr>
          <w:p w14:paraId="32FFD4B9" w14:textId="77777777" w:rsidR="00DF3074" w:rsidRPr="007F7CF1" w:rsidRDefault="00DF3074" w:rsidP="00342BAA">
            <w:pPr>
              <w:jc w:val="center"/>
              <w:rPr>
                <w:rFonts w:ascii="Garamond" w:hAnsi="Garamond"/>
              </w:rPr>
            </w:pPr>
            <w:r>
              <w:rPr>
                <w:rFonts w:ascii="Garamond" w:hAnsi="Garamond"/>
              </w:rPr>
              <w:t>State</w:t>
            </w:r>
          </w:p>
        </w:tc>
      </w:tr>
      <w:tr w:rsidR="00DF3074" w:rsidRPr="007F7CF1" w14:paraId="4EB4560E" w14:textId="77777777" w:rsidTr="00342BAA">
        <w:tc>
          <w:tcPr>
            <w:tcW w:w="0" w:type="auto"/>
          </w:tcPr>
          <w:p w14:paraId="365A60D0" w14:textId="77777777" w:rsidR="00DF3074" w:rsidRPr="007F7CF1" w:rsidRDefault="00DF3074" w:rsidP="00342BAA">
            <w:pPr>
              <w:jc w:val="right"/>
              <w:rPr>
                <w:rFonts w:ascii="Garamond" w:hAnsi="Garamond"/>
              </w:rPr>
            </w:pPr>
          </w:p>
        </w:tc>
        <w:tc>
          <w:tcPr>
            <w:tcW w:w="0" w:type="auto"/>
            <w:tcBorders>
              <w:top w:val="single" w:sz="4" w:space="0" w:color="auto"/>
              <w:bottom w:val="single" w:sz="4" w:space="0" w:color="auto"/>
            </w:tcBorders>
          </w:tcPr>
          <w:p w14:paraId="4440DE22" w14:textId="77777777" w:rsidR="00DF3074" w:rsidRPr="007F7CF1" w:rsidRDefault="00DF3074"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07969EA3" w14:textId="77777777" w:rsidR="00DF3074" w:rsidRPr="007F7CF1" w:rsidRDefault="00DF3074"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3850965A" w14:textId="77777777" w:rsidR="00DF3074" w:rsidRPr="007F7CF1" w:rsidRDefault="00DF3074" w:rsidP="00342BAA">
            <w:pPr>
              <w:rPr>
                <w:rFonts w:ascii="Garamond" w:hAnsi="Garamond"/>
              </w:rPr>
            </w:pPr>
          </w:p>
        </w:tc>
        <w:tc>
          <w:tcPr>
            <w:tcW w:w="0" w:type="auto"/>
            <w:tcBorders>
              <w:top w:val="single" w:sz="4" w:space="0" w:color="auto"/>
              <w:bottom w:val="single" w:sz="4" w:space="0" w:color="auto"/>
            </w:tcBorders>
          </w:tcPr>
          <w:p w14:paraId="06A4CAF3" w14:textId="77777777" w:rsidR="00DF3074" w:rsidRPr="007F7CF1" w:rsidRDefault="00DF3074" w:rsidP="00342BAA">
            <w:pPr>
              <w:jc w:val="right"/>
              <w:rPr>
                <w:rFonts w:ascii="Garamond" w:hAnsi="Garamond"/>
              </w:rPr>
            </w:pPr>
            <w:r>
              <w:rPr>
                <w:rFonts w:ascii="Garamond" w:hAnsi="Garamond"/>
              </w:rPr>
              <w:t>IRR</w:t>
            </w:r>
          </w:p>
        </w:tc>
        <w:tc>
          <w:tcPr>
            <w:tcW w:w="0" w:type="auto"/>
            <w:tcBorders>
              <w:top w:val="single" w:sz="4" w:space="0" w:color="auto"/>
              <w:bottom w:val="single" w:sz="4" w:space="0" w:color="auto"/>
            </w:tcBorders>
          </w:tcPr>
          <w:p w14:paraId="7B0A6DFE" w14:textId="77777777" w:rsidR="00DF3074" w:rsidRPr="007F7CF1" w:rsidRDefault="00DF3074" w:rsidP="00342BAA">
            <w:pPr>
              <w:jc w:val="right"/>
              <w:rPr>
                <w:rFonts w:ascii="Garamond" w:hAnsi="Garamond"/>
              </w:rPr>
            </w:pPr>
            <w:r>
              <w:rPr>
                <w:rFonts w:ascii="Garamond" w:hAnsi="Garamond"/>
              </w:rPr>
              <w:t>SE</w:t>
            </w:r>
          </w:p>
        </w:tc>
        <w:tc>
          <w:tcPr>
            <w:tcW w:w="0" w:type="auto"/>
            <w:tcBorders>
              <w:top w:val="single" w:sz="4" w:space="0" w:color="auto"/>
              <w:bottom w:val="single" w:sz="4" w:space="0" w:color="auto"/>
            </w:tcBorders>
            <w:tcMar>
              <w:left w:w="0" w:type="dxa"/>
              <w:right w:w="115" w:type="dxa"/>
            </w:tcMar>
          </w:tcPr>
          <w:p w14:paraId="5A2A9F6F" w14:textId="77777777" w:rsidR="00DF3074" w:rsidRPr="007F7CF1" w:rsidRDefault="00DF3074" w:rsidP="00342BAA">
            <w:pPr>
              <w:rPr>
                <w:rFonts w:ascii="Garamond" w:hAnsi="Garamond"/>
              </w:rPr>
            </w:pPr>
          </w:p>
        </w:tc>
      </w:tr>
      <w:tr w:rsidR="00DF3074" w:rsidRPr="007F7CF1" w14:paraId="5280CEAD" w14:textId="77777777" w:rsidTr="00342BAA">
        <w:tc>
          <w:tcPr>
            <w:tcW w:w="0" w:type="auto"/>
          </w:tcPr>
          <w:p w14:paraId="775644DA" w14:textId="77777777" w:rsidR="00DF3074" w:rsidRPr="007F7CF1" w:rsidRDefault="00DF3074" w:rsidP="00342BAA">
            <w:pPr>
              <w:jc w:val="right"/>
              <w:rPr>
                <w:rFonts w:ascii="Garamond" w:hAnsi="Garamond"/>
              </w:rPr>
            </w:pPr>
          </w:p>
        </w:tc>
        <w:tc>
          <w:tcPr>
            <w:tcW w:w="0" w:type="auto"/>
            <w:tcBorders>
              <w:top w:val="single" w:sz="4" w:space="0" w:color="auto"/>
            </w:tcBorders>
          </w:tcPr>
          <w:p w14:paraId="439C635E" w14:textId="0BCF0AA7" w:rsidR="00DF3074" w:rsidRPr="007F7CF1" w:rsidRDefault="00DF3074" w:rsidP="00342BAA">
            <w:pPr>
              <w:jc w:val="right"/>
              <w:rPr>
                <w:rFonts w:ascii="Garamond" w:hAnsi="Garamond"/>
              </w:rPr>
            </w:pPr>
            <w:r>
              <w:rPr>
                <w:rFonts w:ascii="Garamond" w:hAnsi="Garamond"/>
              </w:rPr>
              <w:t>2.31</w:t>
            </w:r>
          </w:p>
        </w:tc>
        <w:tc>
          <w:tcPr>
            <w:tcW w:w="0" w:type="auto"/>
            <w:tcBorders>
              <w:top w:val="single" w:sz="4" w:space="0" w:color="auto"/>
            </w:tcBorders>
          </w:tcPr>
          <w:p w14:paraId="619CF6DF" w14:textId="275538C1" w:rsidR="00DF3074" w:rsidRPr="007F7CF1" w:rsidRDefault="00DF3074" w:rsidP="00342BAA">
            <w:pPr>
              <w:jc w:val="right"/>
              <w:rPr>
                <w:rFonts w:ascii="Garamond" w:hAnsi="Garamond"/>
              </w:rPr>
            </w:pPr>
            <w:r>
              <w:rPr>
                <w:rFonts w:ascii="Garamond" w:hAnsi="Garamond"/>
              </w:rPr>
              <w:t>0.09</w:t>
            </w:r>
          </w:p>
        </w:tc>
        <w:tc>
          <w:tcPr>
            <w:tcW w:w="0" w:type="auto"/>
            <w:tcBorders>
              <w:top w:val="single" w:sz="4" w:space="0" w:color="auto"/>
            </w:tcBorders>
            <w:tcMar>
              <w:left w:w="0" w:type="dxa"/>
              <w:right w:w="115" w:type="dxa"/>
            </w:tcMar>
          </w:tcPr>
          <w:p w14:paraId="5DB7AE2A" w14:textId="77777777" w:rsidR="00DF3074" w:rsidRPr="007F7CF1" w:rsidRDefault="00DF3074" w:rsidP="00342BAA">
            <w:pPr>
              <w:rPr>
                <w:rFonts w:ascii="Garamond" w:hAnsi="Garamond"/>
              </w:rPr>
            </w:pPr>
            <w:r>
              <w:rPr>
                <w:rFonts w:ascii="Garamond" w:hAnsi="Garamond"/>
              </w:rPr>
              <w:t>***</w:t>
            </w:r>
          </w:p>
        </w:tc>
        <w:tc>
          <w:tcPr>
            <w:tcW w:w="0" w:type="auto"/>
            <w:tcBorders>
              <w:top w:val="single" w:sz="4" w:space="0" w:color="auto"/>
            </w:tcBorders>
          </w:tcPr>
          <w:p w14:paraId="6AA16356" w14:textId="6965FF73" w:rsidR="00DF3074" w:rsidRPr="007F7CF1" w:rsidRDefault="00DF3074" w:rsidP="00342BAA">
            <w:pPr>
              <w:jc w:val="right"/>
              <w:rPr>
                <w:rFonts w:ascii="Garamond" w:hAnsi="Garamond"/>
              </w:rPr>
            </w:pPr>
            <w:r>
              <w:rPr>
                <w:rFonts w:ascii="Garamond" w:hAnsi="Garamond"/>
              </w:rPr>
              <w:t>2.11</w:t>
            </w:r>
          </w:p>
        </w:tc>
        <w:tc>
          <w:tcPr>
            <w:tcW w:w="0" w:type="auto"/>
            <w:tcBorders>
              <w:top w:val="single" w:sz="4" w:space="0" w:color="auto"/>
            </w:tcBorders>
          </w:tcPr>
          <w:p w14:paraId="4C6CD187" w14:textId="7FC53709" w:rsidR="00DF3074" w:rsidRPr="007F7CF1" w:rsidRDefault="00DF3074" w:rsidP="00342BAA">
            <w:pPr>
              <w:jc w:val="right"/>
              <w:rPr>
                <w:rFonts w:ascii="Garamond" w:hAnsi="Garamond"/>
              </w:rPr>
            </w:pPr>
            <w:r>
              <w:rPr>
                <w:rFonts w:ascii="Garamond" w:hAnsi="Garamond"/>
              </w:rPr>
              <w:t>0.12</w:t>
            </w:r>
          </w:p>
        </w:tc>
        <w:tc>
          <w:tcPr>
            <w:tcW w:w="0" w:type="auto"/>
            <w:tcBorders>
              <w:top w:val="single" w:sz="4" w:space="0" w:color="auto"/>
            </w:tcBorders>
            <w:tcMar>
              <w:left w:w="0" w:type="dxa"/>
              <w:right w:w="115" w:type="dxa"/>
            </w:tcMar>
          </w:tcPr>
          <w:p w14:paraId="05AF087B" w14:textId="77777777" w:rsidR="00DF3074" w:rsidRPr="007F7CF1" w:rsidRDefault="00DF3074" w:rsidP="00342BAA">
            <w:pPr>
              <w:rPr>
                <w:rFonts w:ascii="Garamond" w:hAnsi="Garamond"/>
              </w:rPr>
            </w:pPr>
            <w:r>
              <w:rPr>
                <w:rFonts w:ascii="Garamond" w:hAnsi="Garamond"/>
              </w:rPr>
              <w:t>***</w:t>
            </w:r>
          </w:p>
        </w:tc>
      </w:tr>
      <w:tr w:rsidR="00DF3074" w:rsidRPr="007F7CF1" w14:paraId="282E605B" w14:textId="77777777" w:rsidTr="00342BAA">
        <w:trPr>
          <w:trHeight w:val="177"/>
        </w:trPr>
        <w:tc>
          <w:tcPr>
            <w:tcW w:w="0" w:type="auto"/>
          </w:tcPr>
          <w:p w14:paraId="3285AB13" w14:textId="77777777" w:rsidR="00DF3074" w:rsidRPr="007F7CF1" w:rsidRDefault="00DF3074" w:rsidP="00342BAA">
            <w:pPr>
              <w:jc w:val="right"/>
              <w:rPr>
                <w:rFonts w:ascii="Garamond" w:hAnsi="Garamond"/>
              </w:rPr>
            </w:pPr>
          </w:p>
        </w:tc>
        <w:tc>
          <w:tcPr>
            <w:tcW w:w="0" w:type="auto"/>
          </w:tcPr>
          <w:p w14:paraId="4D00C4C7" w14:textId="77777777" w:rsidR="00DF3074" w:rsidRPr="007F7CF1" w:rsidRDefault="00DF3074" w:rsidP="00342BAA">
            <w:pPr>
              <w:jc w:val="right"/>
              <w:rPr>
                <w:rFonts w:ascii="Garamond" w:hAnsi="Garamond"/>
              </w:rPr>
            </w:pPr>
          </w:p>
        </w:tc>
        <w:tc>
          <w:tcPr>
            <w:tcW w:w="0" w:type="auto"/>
          </w:tcPr>
          <w:p w14:paraId="3189EE12" w14:textId="77777777" w:rsidR="00DF3074" w:rsidRPr="007F7CF1" w:rsidRDefault="00DF3074" w:rsidP="00342BAA">
            <w:pPr>
              <w:jc w:val="right"/>
              <w:rPr>
                <w:rFonts w:ascii="Garamond" w:hAnsi="Garamond"/>
              </w:rPr>
            </w:pPr>
          </w:p>
        </w:tc>
        <w:tc>
          <w:tcPr>
            <w:tcW w:w="0" w:type="auto"/>
            <w:tcMar>
              <w:left w:w="0" w:type="dxa"/>
              <w:right w:w="115" w:type="dxa"/>
            </w:tcMar>
          </w:tcPr>
          <w:p w14:paraId="137EF1F9" w14:textId="77777777" w:rsidR="00DF3074" w:rsidRPr="007F7CF1" w:rsidRDefault="00DF3074" w:rsidP="00342BAA">
            <w:pPr>
              <w:rPr>
                <w:rFonts w:ascii="Garamond" w:hAnsi="Garamond"/>
              </w:rPr>
            </w:pPr>
          </w:p>
        </w:tc>
        <w:tc>
          <w:tcPr>
            <w:tcW w:w="0" w:type="auto"/>
          </w:tcPr>
          <w:p w14:paraId="0815913C" w14:textId="77777777" w:rsidR="00DF3074" w:rsidRPr="007F7CF1" w:rsidRDefault="00DF3074" w:rsidP="00342BAA">
            <w:pPr>
              <w:jc w:val="right"/>
              <w:rPr>
                <w:rFonts w:ascii="Garamond" w:hAnsi="Garamond"/>
              </w:rPr>
            </w:pPr>
          </w:p>
        </w:tc>
        <w:tc>
          <w:tcPr>
            <w:tcW w:w="0" w:type="auto"/>
          </w:tcPr>
          <w:p w14:paraId="3E7171FB" w14:textId="77777777" w:rsidR="00DF3074" w:rsidRPr="007F7CF1" w:rsidRDefault="00DF3074" w:rsidP="00342BAA">
            <w:pPr>
              <w:jc w:val="right"/>
              <w:rPr>
                <w:rFonts w:ascii="Garamond" w:hAnsi="Garamond"/>
              </w:rPr>
            </w:pPr>
          </w:p>
        </w:tc>
        <w:tc>
          <w:tcPr>
            <w:tcW w:w="0" w:type="auto"/>
            <w:tcMar>
              <w:left w:w="0" w:type="dxa"/>
              <w:right w:w="115" w:type="dxa"/>
            </w:tcMar>
          </w:tcPr>
          <w:p w14:paraId="212E7317" w14:textId="77777777" w:rsidR="00DF3074" w:rsidRPr="007F7CF1" w:rsidRDefault="00DF3074" w:rsidP="00342BAA">
            <w:pPr>
              <w:rPr>
                <w:rFonts w:ascii="Garamond" w:hAnsi="Garamond"/>
              </w:rPr>
            </w:pPr>
          </w:p>
        </w:tc>
      </w:tr>
      <w:tr w:rsidR="00DF3074" w:rsidRPr="007F7CF1" w14:paraId="10D032A7" w14:textId="77777777" w:rsidTr="00342BAA">
        <w:tc>
          <w:tcPr>
            <w:tcW w:w="0" w:type="auto"/>
          </w:tcPr>
          <w:p w14:paraId="16334573" w14:textId="77777777" w:rsidR="00DF3074" w:rsidRPr="007F7CF1" w:rsidRDefault="00DF3074" w:rsidP="00342BAA">
            <w:pPr>
              <w:jc w:val="right"/>
              <w:rPr>
                <w:rFonts w:ascii="Garamond" w:hAnsi="Garamond"/>
              </w:rPr>
            </w:pPr>
            <w:r>
              <w:rPr>
                <w:rFonts w:ascii="Garamond" w:hAnsi="Garamond"/>
              </w:rPr>
              <w:t>Pseudo-R</w:t>
            </w:r>
            <w:r w:rsidRPr="002B4B58">
              <w:rPr>
                <w:rFonts w:ascii="Garamond" w:hAnsi="Garamond"/>
                <w:vertAlign w:val="superscript"/>
              </w:rPr>
              <w:t>2</w:t>
            </w:r>
          </w:p>
        </w:tc>
        <w:tc>
          <w:tcPr>
            <w:tcW w:w="0" w:type="auto"/>
            <w:gridSpan w:val="2"/>
          </w:tcPr>
          <w:p w14:paraId="47FC14B5" w14:textId="77777777" w:rsidR="00DF3074" w:rsidRPr="007F7CF1" w:rsidRDefault="00DF3074" w:rsidP="00342BAA">
            <w:pPr>
              <w:jc w:val="center"/>
              <w:rPr>
                <w:rFonts w:ascii="Garamond" w:hAnsi="Garamond"/>
              </w:rPr>
            </w:pPr>
            <w:r>
              <w:rPr>
                <w:rFonts w:ascii="Garamond" w:hAnsi="Garamond"/>
              </w:rPr>
              <w:t>0.07</w:t>
            </w:r>
          </w:p>
        </w:tc>
        <w:tc>
          <w:tcPr>
            <w:tcW w:w="0" w:type="auto"/>
            <w:tcMar>
              <w:left w:w="0" w:type="dxa"/>
              <w:right w:w="115" w:type="dxa"/>
            </w:tcMar>
          </w:tcPr>
          <w:p w14:paraId="2CB34BFB" w14:textId="77777777" w:rsidR="00DF3074" w:rsidRPr="007F7CF1" w:rsidRDefault="00DF3074" w:rsidP="00342BAA">
            <w:pPr>
              <w:rPr>
                <w:rFonts w:ascii="Garamond" w:hAnsi="Garamond"/>
              </w:rPr>
            </w:pPr>
          </w:p>
        </w:tc>
        <w:tc>
          <w:tcPr>
            <w:tcW w:w="0" w:type="auto"/>
            <w:gridSpan w:val="2"/>
          </w:tcPr>
          <w:p w14:paraId="7576A90F" w14:textId="77777777" w:rsidR="00DF3074" w:rsidRPr="007F7CF1" w:rsidRDefault="00DF3074" w:rsidP="00342BAA">
            <w:pPr>
              <w:jc w:val="center"/>
              <w:rPr>
                <w:rFonts w:ascii="Garamond" w:hAnsi="Garamond"/>
              </w:rPr>
            </w:pPr>
            <w:r>
              <w:rPr>
                <w:rFonts w:ascii="Garamond" w:hAnsi="Garamond"/>
              </w:rPr>
              <w:t>0.05</w:t>
            </w:r>
          </w:p>
        </w:tc>
        <w:tc>
          <w:tcPr>
            <w:tcW w:w="0" w:type="auto"/>
            <w:tcMar>
              <w:left w:w="0" w:type="dxa"/>
              <w:right w:w="115" w:type="dxa"/>
            </w:tcMar>
          </w:tcPr>
          <w:p w14:paraId="64408C39" w14:textId="77777777" w:rsidR="00DF3074" w:rsidRPr="007F7CF1" w:rsidRDefault="00DF3074" w:rsidP="00342BAA">
            <w:pPr>
              <w:rPr>
                <w:rFonts w:ascii="Garamond" w:hAnsi="Garamond"/>
              </w:rPr>
            </w:pPr>
          </w:p>
        </w:tc>
      </w:tr>
      <w:tr w:rsidR="00DF3074" w:rsidRPr="007F7CF1" w14:paraId="76B25959" w14:textId="77777777" w:rsidTr="00342BAA">
        <w:tc>
          <w:tcPr>
            <w:tcW w:w="0" w:type="auto"/>
          </w:tcPr>
          <w:p w14:paraId="1E33FA06" w14:textId="77777777" w:rsidR="00DF3074" w:rsidRPr="007F7CF1" w:rsidRDefault="00DF3074" w:rsidP="00342BAA">
            <w:pPr>
              <w:jc w:val="right"/>
              <w:rPr>
                <w:rFonts w:ascii="Garamond" w:hAnsi="Garamond"/>
              </w:rPr>
            </w:pPr>
            <w:r>
              <w:rPr>
                <w:rFonts w:ascii="Garamond" w:hAnsi="Garamond"/>
              </w:rPr>
              <w:t>AIC</w:t>
            </w:r>
          </w:p>
        </w:tc>
        <w:tc>
          <w:tcPr>
            <w:tcW w:w="0" w:type="auto"/>
            <w:gridSpan w:val="2"/>
          </w:tcPr>
          <w:p w14:paraId="4B0B8B5A" w14:textId="013541FB" w:rsidR="00DF3074" w:rsidRPr="007F7CF1" w:rsidRDefault="00DF3074" w:rsidP="00342BAA">
            <w:pPr>
              <w:jc w:val="center"/>
              <w:rPr>
                <w:rFonts w:ascii="Garamond" w:hAnsi="Garamond"/>
              </w:rPr>
            </w:pPr>
            <w:r>
              <w:rPr>
                <w:rFonts w:ascii="Garamond" w:hAnsi="Garamond"/>
              </w:rPr>
              <w:t>48,040.90</w:t>
            </w:r>
          </w:p>
        </w:tc>
        <w:tc>
          <w:tcPr>
            <w:tcW w:w="0" w:type="auto"/>
            <w:tcMar>
              <w:left w:w="0" w:type="dxa"/>
              <w:right w:w="115" w:type="dxa"/>
            </w:tcMar>
          </w:tcPr>
          <w:p w14:paraId="14EDC700" w14:textId="77777777" w:rsidR="00DF3074" w:rsidRPr="007F7CF1" w:rsidRDefault="00DF3074" w:rsidP="00342BAA">
            <w:pPr>
              <w:rPr>
                <w:rFonts w:ascii="Garamond" w:hAnsi="Garamond"/>
              </w:rPr>
            </w:pPr>
          </w:p>
        </w:tc>
        <w:tc>
          <w:tcPr>
            <w:tcW w:w="0" w:type="auto"/>
            <w:gridSpan w:val="2"/>
          </w:tcPr>
          <w:p w14:paraId="00F81389" w14:textId="3A32EDCE" w:rsidR="00DF3074" w:rsidRPr="007F7CF1" w:rsidRDefault="00DF3074" w:rsidP="00342BAA">
            <w:pPr>
              <w:jc w:val="center"/>
              <w:rPr>
                <w:rFonts w:ascii="Garamond" w:hAnsi="Garamond"/>
              </w:rPr>
            </w:pPr>
            <w:r>
              <w:rPr>
                <w:rFonts w:ascii="Garamond" w:hAnsi="Garamond"/>
              </w:rPr>
              <w:t>49,065.73</w:t>
            </w:r>
          </w:p>
        </w:tc>
        <w:tc>
          <w:tcPr>
            <w:tcW w:w="0" w:type="auto"/>
            <w:tcMar>
              <w:left w:w="0" w:type="dxa"/>
              <w:right w:w="115" w:type="dxa"/>
            </w:tcMar>
          </w:tcPr>
          <w:p w14:paraId="48121BA7" w14:textId="77777777" w:rsidR="00DF3074" w:rsidRPr="007F7CF1" w:rsidRDefault="00DF3074" w:rsidP="00342BAA">
            <w:pPr>
              <w:rPr>
                <w:rFonts w:ascii="Garamond" w:hAnsi="Garamond"/>
              </w:rPr>
            </w:pPr>
          </w:p>
        </w:tc>
      </w:tr>
      <w:tr w:rsidR="00DF3074" w:rsidRPr="007F7CF1" w14:paraId="3365102E" w14:textId="77777777" w:rsidTr="00342BAA">
        <w:tc>
          <w:tcPr>
            <w:tcW w:w="0" w:type="auto"/>
            <w:tcBorders>
              <w:bottom w:val="single" w:sz="4" w:space="0" w:color="auto"/>
            </w:tcBorders>
          </w:tcPr>
          <w:p w14:paraId="331A9DAC" w14:textId="77777777" w:rsidR="00DF3074" w:rsidRDefault="00DF3074" w:rsidP="00342BAA">
            <w:pPr>
              <w:jc w:val="right"/>
              <w:rPr>
                <w:rFonts w:ascii="Garamond" w:hAnsi="Garamond"/>
              </w:rPr>
            </w:pPr>
            <w:r>
              <w:rPr>
                <w:rFonts w:ascii="Garamond" w:hAnsi="Garamond"/>
              </w:rPr>
              <w:t>BIC</w:t>
            </w:r>
          </w:p>
        </w:tc>
        <w:tc>
          <w:tcPr>
            <w:tcW w:w="0" w:type="auto"/>
            <w:gridSpan w:val="2"/>
            <w:tcBorders>
              <w:bottom w:val="single" w:sz="4" w:space="0" w:color="auto"/>
            </w:tcBorders>
          </w:tcPr>
          <w:p w14:paraId="1F1FB085" w14:textId="17F49347" w:rsidR="00DF3074" w:rsidRPr="007F7CF1" w:rsidRDefault="00DF3074" w:rsidP="00342BAA">
            <w:pPr>
              <w:jc w:val="center"/>
              <w:rPr>
                <w:rFonts w:ascii="Garamond" w:hAnsi="Garamond"/>
              </w:rPr>
            </w:pPr>
            <w:r>
              <w:rPr>
                <w:rFonts w:ascii="Garamond" w:hAnsi="Garamond"/>
              </w:rPr>
              <w:t>48,063.38</w:t>
            </w:r>
          </w:p>
        </w:tc>
        <w:tc>
          <w:tcPr>
            <w:tcW w:w="0" w:type="auto"/>
            <w:tcBorders>
              <w:bottom w:val="single" w:sz="4" w:space="0" w:color="auto"/>
            </w:tcBorders>
            <w:tcMar>
              <w:left w:w="0" w:type="dxa"/>
              <w:right w:w="115" w:type="dxa"/>
            </w:tcMar>
          </w:tcPr>
          <w:p w14:paraId="1DC39A69" w14:textId="77777777" w:rsidR="00DF3074" w:rsidRPr="007F7CF1" w:rsidRDefault="00DF3074" w:rsidP="00342BAA">
            <w:pPr>
              <w:rPr>
                <w:rFonts w:ascii="Garamond" w:hAnsi="Garamond"/>
              </w:rPr>
            </w:pPr>
          </w:p>
        </w:tc>
        <w:tc>
          <w:tcPr>
            <w:tcW w:w="0" w:type="auto"/>
            <w:gridSpan w:val="2"/>
            <w:tcBorders>
              <w:bottom w:val="single" w:sz="4" w:space="0" w:color="auto"/>
            </w:tcBorders>
          </w:tcPr>
          <w:p w14:paraId="74077B8B" w14:textId="19A6D3C5" w:rsidR="00DF3074" w:rsidRPr="007F7CF1" w:rsidRDefault="00DF3074" w:rsidP="00342BAA">
            <w:pPr>
              <w:jc w:val="center"/>
              <w:rPr>
                <w:rFonts w:ascii="Garamond" w:hAnsi="Garamond"/>
              </w:rPr>
            </w:pPr>
            <w:r>
              <w:rPr>
                <w:rFonts w:ascii="Garamond" w:hAnsi="Garamond"/>
              </w:rPr>
              <w:t>49,088.21</w:t>
            </w:r>
          </w:p>
        </w:tc>
        <w:tc>
          <w:tcPr>
            <w:tcW w:w="0" w:type="auto"/>
            <w:tcBorders>
              <w:bottom w:val="single" w:sz="4" w:space="0" w:color="auto"/>
            </w:tcBorders>
            <w:tcMar>
              <w:left w:w="0" w:type="dxa"/>
              <w:right w:w="115" w:type="dxa"/>
            </w:tcMar>
          </w:tcPr>
          <w:p w14:paraId="5E1B75AF" w14:textId="77777777" w:rsidR="00DF3074" w:rsidRPr="007F7CF1" w:rsidRDefault="00DF3074" w:rsidP="00342BAA">
            <w:pPr>
              <w:rPr>
                <w:rFonts w:ascii="Garamond" w:hAnsi="Garamond"/>
              </w:rPr>
            </w:pPr>
          </w:p>
        </w:tc>
      </w:tr>
      <w:tr w:rsidR="004540AE" w:rsidRPr="007F7CF1" w14:paraId="7ED6C3CD" w14:textId="77777777" w:rsidTr="00DF3074">
        <w:tc>
          <w:tcPr>
            <w:tcW w:w="5990" w:type="dxa"/>
            <w:gridSpan w:val="7"/>
            <w:tcBorders>
              <w:top w:val="single" w:sz="4" w:space="0" w:color="auto"/>
            </w:tcBorders>
          </w:tcPr>
          <w:p w14:paraId="472A86D5" w14:textId="77777777" w:rsidR="004540AE" w:rsidRDefault="004540AE" w:rsidP="00342BAA">
            <w:pPr>
              <w:rPr>
                <w:rFonts w:ascii="Garamond" w:hAnsi="Garamond"/>
              </w:rPr>
            </w:pPr>
            <w:r>
              <w:rPr>
                <w:rFonts w:ascii="Garamond" w:hAnsi="Garamond"/>
              </w:rPr>
              <w:t xml:space="preserve">Source: American Violence Project; American Community Survey 2018-2022 5-year estimates. </w:t>
            </w:r>
          </w:p>
          <w:p w14:paraId="45837637" w14:textId="77777777" w:rsidR="004540AE" w:rsidRDefault="004540AE" w:rsidP="00342BAA">
            <w:pPr>
              <w:rPr>
                <w:rFonts w:ascii="Garamond" w:hAnsi="Garamond"/>
              </w:rPr>
            </w:pPr>
            <w:r>
              <w:rPr>
                <w:rFonts w:ascii="Garamond" w:hAnsi="Garamond"/>
              </w:rPr>
              <w:t>CDC Social Vulnerability Index</w:t>
            </w:r>
          </w:p>
          <w:p w14:paraId="5F5AF7D7" w14:textId="77777777" w:rsidR="004540AE" w:rsidRDefault="004540AE" w:rsidP="00342BAA">
            <w:pPr>
              <w:rPr>
                <w:rFonts w:ascii="Garamond" w:hAnsi="Garamond"/>
              </w:rPr>
            </w:pPr>
            <w:r>
              <w:rPr>
                <w:rFonts w:ascii="Garamond" w:hAnsi="Garamond"/>
              </w:rPr>
              <w:t>Notes: Standard errors adjusted for clustering in 84 cities; Incident-rate ratios presented</w:t>
            </w:r>
          </w:p>
          <w:p w14:paraId="3FE2E778" w14:textId="77777777" w:rsidR="004540AE" w:rsidRDefault="004540AE" w:rsidP="00342BAA">
            <w:pPr>
              <w:rPr>
                <w:rFonts w:ascii="Garamond" w:hAnsi="Garamond"/>
              </w:rPr>
            </w:pPr>
            <w:r>
              <w:rPr>
                <w:rFonts w:ascii="Garamond" w:hAnsi="Garamond"/>
              </w:rPr>
              <w:t>*p&lt;0.05; **p&lt;0.01; ***p&lt;0.001</w:t>
            </w:r>
          </w:p>
        </w:tc>
      </w:tr>
    </w:tbl>
    <w:p w14:paraId="10228E2E" w14:textId="77777777" w:rsidR="004540AE" w:rsidRDefault="004540AE" w:rsidP="004540AE"/>
    <w:p w14:paraId="18B5342F" w14:textId="77777777" w:rsidR="004540AE" w:rsidRDefault="004540AE" w:rsidP="004540AE"/>
    <w:p w14:paraId="7A9FAEC3" w14:textId="77777777" w:rsidR="004540AE" w:rsidRDefault="004540AE" w:rsidP="004540AE"/>
    <w:p w14:paraId="5B0057D0" w14:textId="77777777" w:rsidR="004540AE" w:rsidRDefault="004540AE" w:rsidP="004540AE"/>
    <w:p w14:paraId="3735B2D6" w14:textId="77777777" w:rsidR="004540AE" w:rsidRDefault="004540AE" w:rsidP="004540AE"/>
    <w:p w14:paraId="221A8147" w14:textId="77777777" w:rsidR="004540AE" w:rsidRDefault="004540AE" w:rsidP="004540AE"/>
    <w:p w14:paraId="6DDE49D8" w14:textId="77777777" w:rsidR="004540AE" w:rsidRDefault="004540AE" w:rsidP="004540AE"/>
    <w:p w14:paraId="03C3E77F" w14:textId="77777777" w:rsidR="004540AE" w:rsidRDefault="004540AE" w:rsidP="004540AE"/>
    <w:p w14:paraId="47FEEA58" w14:textId="77777777" w:rsidR="004540AE" w:rsidRDefault="004540AE" w:rsidP="004540AE">
      <w:pPr>
        <w:sectPr w:rsidR="004540AE" w:rsidSect="004540AE">
          <w:pgSz w:w="15840" w:h="12240" w:orient="landscape"/>
          <w:pgMar w:top="1440" w:right="1440" w:bottom="1440" w:left="1440" w:header="720" w:footer="720" w:gutter="0"/>
          <w:cols w:space="720"/>
          <w:docGrid w:linePitch="360"/>
        </w:sectPr>
      </w:pPr>
    </w:p>
    <w:p w14:paraId="19710E35" w14:textId="77777777" w:rsidR="004540AE" w:rsidRPr="00D945B6" w:rsidRDefault="004540AE" w:rsidP="004540AE">
      <w:pPr>
        <w:jc w:val="center"/>
        <w:rPr>
          <w:rFonts w:ascii="Garamond" w:hAnsi="Garamond"/>
          <w:b/>
          <w:bCs/>
        </w:rPr>
      </w:pPr>
      <w:r w:rsidRPr="00D945B6">
        <w:rPr>
          <w:rFonts w:ascii="Garamond" w:hAnsi="Garamond"/>
          <w:b/>
          <w:bCs/>
        </w:rPr>
        <w:lastRenderedPageBreak/>
        <w:t>APPENDICES</w:t>
      </w:r>
    </w:p>
    <w:p w14:paraId="213AD1BC" w14:textId="77777777" w:rsidR="004540AE" w:rsidRDefault="004540AE" w:rsidP="004540AE">
      <w:pPr>
        <w:spacing w:after="0" w:line="240" w:lineRule="auto"/>
        <w:jc w:val="both"/>
        <w:rPr>
          <w:rFonts w:ascii="Garamond" w:hAnsi="Garamond"/>
        </w:rPr>
      </w:pPr>
    </w:p>
    <w:p w14:paraId="688CE1E6" w14:textId="77777777" w:rsidR="004540AE" w:rsidRPr="008918A0" w:rsidRDefault="004540AE" w:rsidP="004540AE">
      <w:pPr>
        <w:spacing w:after="0" w:line="240" w:lineRule="auto"/>
        <w:jc w:val="both"/>
        <w:rPr>
          <w:rFonts w:ascii="Garamond" w:hAnsi="Garamond"/>
          <w:b/>
          <w:bCs/>
        </w:rPr>
      </w:pPr>
      <w:r>
        <w:rPr>
          <w:rFonts w:ascii="Garamond" w:hAnsi="Garamond"/>
          <w:b/>
          <w:bCs/>
        </w:rPr>
        <w:t xml:space="preserve">Appendix </w:t>
      </w:r>
      <w:r w:rsidRPr="008918A0">
        <w:rPr>
          <w:rFonts w:ascii="Garamond" w:hAnsi="Garamond"/>
          <w:b/>
          <w:bCs/>
        </w:rPr>
        <w:t>1</w:t>
      </w:r>
      <w:r>
        <w:rPr>
          <w:rFonts w:ascii="Garamond" w:hAnsi="Garamond"/>
          <w:b/>
          <w:bCs/>
        </w:rPr>
        <w:t>:</w:t>
      </w:r>
      <w:r w:rsidRPr="008918A0">
        <w:rPr>
          <w:rFonts w:ascii="Garamond" w:hAnsi="Garamond"/>
          <w:b/>
          <w:bCs/>
        </w:rPr>
        <w:t xml:space="preserve"> </w:t>
      </w:r>
      <w:r>
        <w:rPr>
          <w:rFonts w:ascii="Garamond" w:hAnsi="Garamond"/>
          <w:b/>
          <w:bCs/>
        </w:rPr>
        <w:t>Items</w:t>
      </w:r>
      <w:r w:rsidRPr="008918A0">
        <w:rPr>
          <w:rFonts w:ascii="Garamond" w:hAnsi="Garamond"/>
          <w:b/>
          <w:bCs/>
        </w:rPr>
        <w:t xml:space="preserve"> Included in the CDC Social Vulnerability Index (SVI)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8"/>
        <w:gridCol w:w="5662"/>
      </w:tblGrid>
      <w:tr w:rsidR="004540AE" w:rsidRPr="008918A0" w14:paraId="122A44BA" w14:textId="77777777" w:rsidTr="00342BAA">
        <w:tc>
          <w:tcPr>
            <w:tcW w:w="0" w:type="auto"/>
            <w:vAlign w:val="bottom"/>
            <w:hideMark/>
          </w:tcPr>
          <w:p w14:paraId="7FC33521" w14:textId="77777777" w:rsidR="004540AE" w:rsidRPr="00663C70" w:rsidRDefault="004540AE" w:rsidP="00342BAA">
            <w:pPr>
              <w:spacing w:after="0" w:line="240" w:lineRule="auto"/>
              <w:rPr>
                <w:rFonts w:ascii="Garamond" w:hAnsi="Garamond"/>
                <w:b/>
                <w:bCs/>
              </w:rPr>
            </w:pPr>
            <w:r w:rsidRPr="00663C70">
              <w:rPr>
                <w:rFonts w:ascii="Garamond" w:hAnsi="Garamond"/>
                <w:b/>
                <w:bCs/>
              </w:rPr>
              <w:t>Theme</w:t>
            </w:r>
          </w:p>
        </w:tc>
        <w:tc>
          <w:tcPr>
            <w:tcW w:w="0" w:type="auto"/>
            <w:vAlign w:val="bottom"/>
            <w:hideMark/>
          </w:tcPr>
          <w:p w14:paraId="7EDA2780" w14:textId="77777777" w:rsidR="004540AE" w:rsidRPr="00663C70" w:rsidRDefault="004540AE" w:rsidP="00342BAA">
            <w:pPr>
              <w:spacing w:after="0" w:line="240" w:lineRule="auto"/>
              <w:rPr>
                <w:rFonts w:ascii="Garamond" w:hAnsi="Garamond"/>
                <w:b/>
                <w:bCs/>
              </w:rPr>
            </w:pPr>
            <w:r w:rsidRPr="00663C70">
              <w:rPr>
                <w:rFonts w:ascii="Garamond" w:hAnsi="Garamond"/>
                <w:b/>
                <w:bCs/>
              </w:rPr>
              <w:t>Variable</w:t>
            </w:r>
          </w:p>
        </w:tc>
      </w:tr>
      <w:tr w:rsidR="004540AE" w:rsidRPr="008918A0" w14:paraId="79404D61" w14:textId="77777777" w:rsidTr="00342BAA">
        <w:tc>
          <w:tcPr>
            <w:tcW w:w="0" w:type="auto"/>
            <w:hideMark/>
          </w:tcPr>
          <w:p w14:paraId="7A9B4458" w14:textId="77777777" w:rsidR="004540AE" w:rsidRPr="008918A0" w:rsidRDefault="004540AE" w:rsidP="00342BAA">
            <w:pPr>
              <w:spacing w:after="0" w:line="240" w:lineRule="auto"/>
              <w:rPr>
                <w:rFonts w:ascii="Garamond" w:hAnsi="Garamond"/>
              </w:rPr>
            </w:pPr>
            <w:r w:rsidRPr="008918A0">
              <w:rPr>
                <w:rFonts w:ascii="Garamond" w:hAnsi="Garamond"/>
              </w:rPr>
              <w:t>Socioeconomic Status</w:t>
            </w:r>
          </w:p>
        </w:tc>
        <w:tc>
          <w:tcPr>
            <w:tcW w:w="0" w:type="auto"/>
            <w:hideMark/>
          </w:tcPr>
          <w:p w14:paraId="3199EDB0" w14:textId="77777777" w:rsidR="004540AE" w:rsidRPr="008918A0" w:rsidRDefault="004540AE" w:rsidP="00342BAA">
            <w:pPr>
              <w:spacing w:after="0" w:line="240" w:lineRule="auto"/>
              <w:rPr>
                <w:rFonts w:ascii="Garamond" w:hAnsi="Garamond"/>
              </w:rPr>
            </w:pPr>
            <w:r w:rsidRPr="008918A0">
              <w:rPr>
                <w:rFonts w:ascii="Garamond" w:hAnsi="Garamond"/>
              </w:rPr>
              <w:t>% Persons below poverty level</w:t>
            </w:r>
          </w:p>
        </w:tc>
      </w:tr>
      <w:tr w:rsidR="004540AE" w:rsidRPr="008918A0" w14:paraId="15AE82A2" w14:textId="77777777" w:rsidTr="00342BAA">
        <w:tc>
          <w:tcPr>
            <w:tcW w:w="0" w:type="auto"/>
          </w:tcPr>
          <w:p w14:paraId="32E57747" w14:textId="77777777" w:rsidR="004540AE" w:rsidRPr="008918A0" w:rsidRDefault="004540AE" w:rsidP="00342BAA">
            <w:pPr>
              <w:spacing w:after="0" w:line="240" w:lineRule="auto"/>
              <w:rPr>
                <w:rFonts w:ascii="Garamond" w:hAnsi="Garamond"/>
              </w:rPr>
            </w:pPr>
          </w:p>
        </w:tc>
        <w:tc>
          <w:tcPr>
            <w:tcW w:w="0" w:type="auto"/>
            <w:hideMark/>
          </w:tcPr>
          <w:p w14:paraId="281DAE25" w14:textId="77777777" w:rsidR="004540AE" w:rsidRPr="008918A0" w:rsidRDefault="004540AE" w:rsidP="00342BAA">
            <w:pPr>
              <w:spacing w:after="0" w:line="240" w:lineRule="auto"/>
              <w:rPr>
                <w:rFonts w:ascii="Garamond" w:hAnsi="Garamond"/>
              </w:rPr>
            </w:pPr>
            <w:r w:rsidRPr="008918A0">
              <w:rPr>
                <w:rFonts w:ascii="Garamond" w:hAnsi="Garamond"/>
              </w:rPr>
              <w:t>% Civilian (age 16+) unemployed</w:t>
            </w:r>
          </w:p>
        </w:tc>
      </w:tr>
      <w:tr w:rsidR="004540AE" w:rsidRPr="008918A0" w14:paraId="4B2B714C" w14:textId="77777777" w:rsidTr="00342BAA">
        <w:tc>
          <w:tcPr>
            <w:tcW w:w="0" w:type="auto"/>
          </w:tcPr>
          <w:p w14:paraId="62D63560" w14:textId="77777777" w:rsidR="004540AE" w:rsidRPr="008918A0" w:rsidRDefault="004540AE" w:rsidP="00342BAA">
            <w:pPr>
              <w:spacing w:after="0" w:line="240" w:lineRule="auto"/>
              <w:rPr>
                <w:rFonts w:ascii="Garamond" w:hAnsi="Garamond"/>
              </w:rPr>
            </w:pPr>
          </w:p>
        </w:tc>
        <w:tc>
          <w:tcPr>
            <w:tcW w:w="0" w:type="auto"/>
          </w:tcPr>
          <w:p w14:paraId="4ECA8A60" w14:textId="77777777" w:rsidR="004540AE" w:rsidRPr="008918A0" w:rsidRDefault="004540AE" w:rsidP="00342BAA">
            <w:pPr>
              <w:spacing w:after="0" w:line="240" w:lineRule="auto"/>
              <w:rPr>
                <w:rFonts w:ascii="Garamond" w:hAnsi="Garamond"/>
              </w:rPr>
            </w:pPr>
            <w:r>
              <w:rPr>
                <w:rFonts w:ascii="Garamond" w:hAnsi="Garamond"/>
              </w:rPr>
              <w:t>Housing cost burden</w:t>
            </w:r>
          </w:p>
        </w:tc>
      </w:tr>
      <w:tr w:rsidR="004540AE" w:rsidRPr="008918A0" w14:paraId="06C7BF77" w14:textId="77777777" w:rsidTr="00342BAA">
        <w:tc>
          <w:tcPr>
            <w:tcW w:w="0" w:type="auto"/>
          </w:tcPr>
          <w:p w14:paraId="5CA64414" w14:textId="77777777" w:rsidR="004540AE" w:rsidRPr="008918A0" w:rsidRDefault="004540AE" w:rsidP="00342BAA">
            <w:pPr>
              <w:spacing w:after="0" w:line="240" w:lineRule="auto"/>
              <w:rPr>
                <w:rFonts w:ascii="Garamond" w:hAnsi="Garamond"/>
              </w:rPr>
            </w:pPr>
          </w:p>
        </w:tc>
        <w:tc>
          <w:tcPr>
            <w:tcW w:w="0" w:type="auto"/>
            <w:hideMark/>
          </w:tcPr>
          <w:p w14:paraId="718E9A70" w14:textId="77777777" w:rsidR="004540AE" w:rsidRPr="008918A0" w:rsidRDefault="004540AE" w:rsidP="00342BAA">
            <w:pPr>
              <w:spacing w:after="0" w:line="240" w:lineRule="auto"/>
              <w:rPr>
                <w:rFonts w:ascii="Garamond" w:hAnsi="Garamond"/>
              </w:rPr>
            </w:pPr>
            <w:r w:rsidRPr="008918A0">
              <w:rPr>
                <w:rFonts w:ascii="Garamond" w:hAnsi="Garamond"/>
              </w:rPr>
              <w:t>Per capita income</w:t>
            </w:r>
          </w:p>
        </w:tc>
      </w:tr>
      <w:tr w:rsidR="004540AE" w:rsidRPr="008918A0" w14:paraId="05311E6D" w14:textId="77777777" w:rsidTr="00342BAA">
        <w:tc>
          <w:tcPr>
            <w:tcW w:w="0" w:type="auto"/>
          </w:tcPr>
          <w:p w14:paraId="3808E69D" w14:textId="77777777" w:rsidR="004540AE" w:rsidRPr="008918A0" w:rsidRDefault="004540AE" w:rsidP="00342BAA">
            <w:pPr>
              <w:spacing w:after="0" w:line="240" w:lineRule="auto"/>
              <w:rPr>
                <w:rFonts w:ascii="Garamond" w:hAnsi="Garamond"/>
              </w:rPr>
            </w:pPr>
          </w:p>
        </w:tc>
        <w:tc>
          <w:tcPr>
            <w:tcW w:w="0" w:type="auto"/>
            <w:hideMark/>
          </w:tcPr>
          <w:p w14:paraId="4883D938" w14:textId="77777777" w:rsidR="004540AE" w:rsidRPr="008918A0" w:rsidRDefault="004540AE" w:rsidP="00342BAA">
            <w:pPr>
              <w:spacing w:after="0" w:line="240" w:lineRule="auto"/>
              <w:rPr>
                <w:rFonts w:ascii="Garamond" w:hAnsi="Garamond"/>
              </w:rPr>
            </w:pPr>
            <w:r w:rsidRPr="008918A0">
              <w:rPr>
                <w:rFonts w:ascii="Garamond" w:hAnsi="Garamond"/>
              </w:rPr>
              <w:t>% Persons (age 25+) without high school diploma</w:t>
            </w:r>
          </w:p>
        </w:tc>
      </w:tr>
      <w:tr w:rsidR="004540AE" w:rsidRPr="008918A0" w14:paraId="399351EF" w14:textId="77777777" w:rsidTr="00342BAA">
        <w:tc>
          <w:tcPr>
            <w:tcW w:w="0" w:type="auto"/>
          </w:tcPr>
          <w:p w14:paraId="4868F059" w14:textId="77777777" w:rsidR="004540AE" w:rsidRPr="008918A0" w:rsidRDefault="004540AE" w:rsidP="00342BAA">
            <w:pPr>
              <w:spacing w:after="0" w:line="240" w:lineRule="auto"/>
              <w:rPr>
                <w:rFonts w:ascii="Garamond" w:hAnsi="Garamond"/>
              </w:rPr>
            </w:pPr>
          </w:p>
        </w:tc>
        <w:tc>
          <w:tcPr>
            <w:tcW w:w="0" w:type="auto"/>
          </w:tcPr>
          <w:p w14:paraId="7CD95B5F" w14:textId="77777777" w:rsidR="004540AE" w:rsidRPr="008918A0" w:rsidRDefault="004540AE" w:rsidP="00342BAA">
            <w:pPr>
              <w:spacing w:after="0" w:line="240" w:lineRule="auto"/>
              <w:rPr>
                <w:rFonts w:ascii="Garamond" w:hAnsi="Garamond"/>
              </w:rPr>
            </w:pPr>
            <w:r>
              <w:rPr>
                <w:rFonts w:ascii="Garamond" w:hAnsi="Garamond"/>
              </w:rPr>
              <w:t>% with no health insurance</w:t>
            </w:r>
          </w:p>
        </w:tc>
      </w:tr>
      <w:tr w:rsidR="004540AE" w:rsidRPr="008918A0" w14:paraId="735482C8" w14:textId="77777777" w:rsidTr="00342BAA">
        <w:tc>
          <w:tcPr>
            <w:tcW w:w="0" w:type="auto"/>
            <w:hideMark/>
          </w:tcPr>
          <w:p w14:paraId="63BB1291" w14:textId="77777777" w:rsidR="004540AE" w:rsidRPr="008918A0" w:rsidRDefault="004540AE" w:rsidP="00342BAA">
            <w:pPr>
              <w:spacing w:after="0" w:line="240" w:lineRule="auto"/>
              <w:rPr>
                <w:rFonts w:ascii="Garamond" w:hAnsi="Garamond"/>
              </w:rPr>
            </w:pPr>
            <w:r w:rsidRPr="008918A0">
              <w:rPr>
                <w:rFonts w:ascii="Garamond" w:hAnsi="Garamond"/>
              </w:rPr>
              <w:t>Household Composition &amp; Disability</w:t>
            </w:r>
          </w:p>
        </w:tc>
        <w:tc>
          <w:tcPr>
            <w:tcW w:w="0" w:type="auto"/>
            <w:hideMark/>
          </w:tcPr>
          <w:p w14:paraId="1AC42F3A" w14:textId="77777777" w:rsidR="004540AE" w:rsidRPr="008918A0" w:rsidRDefault="004540AE" w:rsidP="00342BAA">
            <w:pPr>
              <w:spacing w:after="0" w:line="240" w:lineRule="auto"/>
              <w:rPr>
                <w:rFonts w:ascii="Garamond" w:hAnsi="Garamond"/>
              </w:rPr>
            </w:pPr>
            <w:r w:rsidRPr="008918A0">
              <w:rPr>
                <w:rFonts w:ascii="Garamond" w:hAnsi="Garamond"/>
              </w:rPr>
              <w:t>% Persons aged 65 years and older</w:t>
            </w:r>
          </w:p>
        </w:tc>
      </w:tr>
      <w:tr w:rsidR="004540AE" w:rsidRPr="008918A0" w14:paraId="1B53EFC1" w14:textId="77777777" w:rsidTr="00342BAA">
        <w:tc>
          <w:tcPr>
            <w:tcW w:w="0" w:type="auto"/>
          </w:tcPr>
          <w:p w14:paraId="0C2A3423" w14:textId="77777777" w:rsidR="004540AE" w:rsidRPr="008918A0" w:rsidRDefault="004540AE" w:rsidP="00342BAA">
            <w:pPr>
              <w:spacing w:after="0" w:line="240" w:lineRule="auto"/>
              <w:rPr>
                <w:rFonts w:ascii="Garamond" w:hAnsi="Garamond"/>
              </w:rPr>
            </w:pPr>
          </w:p>
        </w:tc>
        <w:tc>
          <w:tcPr>
            <w:tcW w:w="0" w:type="auto"/>
            <w:hideMark/>
          </w:tcPr>
          <w:p w14:paraId="4A1ED165" w14:textId="77777777" w:rsidR="004540AE" w:rsidRPr="008918A0" w:rsidRDefault="004540AE" w:rsidP="00342BAA">
            <w:pPr>
              <w:spacing w:after="0" w:line="240" w:lineRule="auto"/>
              <w:rPr>
                <w:rFonts w:ascii="Garamond" w:hAnsi="Garamond"/>
              </w:rPr>
            </w:pPr>
            <w:r w:rsidRPr="008918A0">
              <w:rPr>
                <w:rFonts w:ascii="Garamond" w:hAnsi="Garamond"/>
              </w:rPr>
              <w:t>% Persons aged 17 years and younger</w:t>
            </w:r>
          </w:p>
        </w:tc>
      </w:tr>
      <w:tr w:rsidR="004540AE" w:rsidRPr="008918A0" w14:paraId="5A190C16" w14:textId="77777777" w:rsidTr="00342BAA">
        <w:tc>
          <w:tcPr>
            <w:tcW w:w="0" w:type="auto"/>
          </w:tcPr>
          <w:p w14:paraId="7E216D57" w14:textId="77777777" w:rsidR="004540AE" w:rsidRPr="008918A0" w:rsidRDefault="004540AE" w:rsidP="00342BAA">
            <w:pPr>
              <w:spacing w:after="0" w:line="240" w:lineRule="auto"/>
              <w:rPr>
                <w:rFonts w:ascii="Garamond" w:hAnsi="Garamond"/>
              </w:rPr>
            </w:pPr>
          </w:p>
        </w:tc>
        <w:tc>
          <w:tcPr>
            <w:tcW w:w="0" w:type="auto"/>
            <w:hideMark/>
          </w:tcPr>
          <w:p w14:paraId="636CA594" w14:textId="77777777" w:rsidR="004540AE" w:rsidRPr="008918A0" w:rsidRDefault="004540AE" w:rsidP="00342BAA">
            <w:pPr>
              <w:spacing w:after="0" w:line="240" w:lineRule="auto"/>
              <w:rPr>
                <w:rFonts w:ascii="Garamond" w:hAnsi="Garamond"/>
              </w:rPr>
            </w:pPr>
            <w:r w:rsidRPr="008918A0">
              <w:rPr>
                <w:rFonts w:ascii="Garamond" w:hAnsi="Garamond"/>
              </w:rPr>
              <w:t>% Civilian population with a disability</w:t>
            </w:r>
          </w:p>
        </w:tc>
      </w:tr>
      <w:tr w:rsidR="004540AE" w:rsidRPr="008918A0" w14:paraId="2025A359" w14:textId="77777777" w:rsidTr="00342BAA">
        <w:tc>
          <w:tcPr>
            <w:tcW w:w="0" w:type="auto"/>
          </w:tcPr>
          <w:p w14:paraId="0DF1825C" w14:textId="77777777" w:rsidR="004540AE" w:rsidRPr="008918A0" w:rsidRDefault="004540AE" w:rsidP="00342BAA">
            <w:pPr>
              <w:spacing w:after="0" w:line="240" w:lineRule="auto"/>
              <w:rPr>
                <w:rFonts w:ascii="Garamond" w:hAnsi="Garamond"/>
              </w:rPr>
            </w:pPr>
          </w:p>
        </w:tc>
        <w:tc>
          <w:tcPr>
            <w:tcW w:w="0" w:type="auto"/>
            <w:hideMark/>
          </w:tcPr>
          <w:p w14:paraId="0522B926" w14:textId="77777777" w:rsidR="004540AE" w:rsidRPr="008918A0" w:rsidRDefault="004540AE" w:rsidP="00342BAA">
            <w:pPr>
              <w:spacing w:after="0" w:line="240" w:lineRule="auto"/>
              <w:rPr>
                <w:rFonts w:ascii="Garamond" w:hAnsi="Garamond"/>
              </w:rPr>
            </w:pPr>
            <w:r w:rsidRPr="008918A0">
              <w:rPr>
                <w:rFonts w:ascii="Garamond" w:hAnsi="Garamond"/>
              </w:rPr>
              <w:t>% Single-parent households with children &lt;18</w:t>
            </w:r>
          </w:p>
        </w:tc>
      </w:tr>
      <w:tr w:rsidR="004540AE" w:rsidRPr="008918A0" w14:paraId="6FDB678A" w14:textId="77777777" w:rsidTr="00342BAA">
        <w:tc>
          <w:tcPr>
            <w:tcW w:w="0" w:type="auto"/>
          </w:tcPr>
          <w:p w14:paraId="5EF85E2E" w14:textId="77777777" w:rsidR="004540AE" w:rsidRPr="008918A0" w:rsidRDefault="004540AE" w:rsidP="00342BAA">
            <w:pPr>
              <w:spacing w:after="0" w:line="240" w:lineRule="auto"/>
              <w:rPr>
                <w:rFonts w:ascii="Garamond" w:hAnsi="Garamond"/>
              </w:rPr>
            </w:pPr>
          </w:p>
        </w:tc>
        <w:tc>
          <w:tcPr>
            <w:tcW w:w="0" w:type="auto"/>
          </w:tcPr>
          <w:p w14:paraId="7941E42C" w14:textId="77777777" w:rsidR="004540AE" w:rsidRPr="008918A0" w:rsidRDefault="004540AE" w:rsidP="00342BAA">
            <w:pPr>
              <w:spacing w:after="0" w:line="240" w:lineRule="auto"/>
              <w:rPr>
                <w:rFonts w:ascii="Garamond" w:hAnsi="Garamond"/>
              </w:rPr>
            </w:pPr>
            <w:r w:rsidRPr="008918A0">
              <w:rPr>
                <w:rFonts w:ascii="Garamond" w:hAnsi="Garamond"/>
              </w:rPr>
              <w:t>% Persons (age 5+) who speak English 'less than very well'</w:t>
            </w:r>
          </w:p>
        </w:tc>
      </w:tr>
      <w:tr w:rsidR="004540AE" w:rsidRPr="008918A0" w14:paraId="7F59B5B9" w14:textId="77777777" w:rsidTr="00342BAA">
        <w:tc>
          <w:tcPr>
            <w:tcW w:w="0" w:type="auto"/>
            <w:hideMark/>
          </w:tcPr>
          <w:p w14:paraId="4F200734" w14:textId="77777777" w:rsidR="004540AE" w:rsidRPr="008918A0" w:rsidRDefault="004540AE" w:rsidP="00342BAA">
            <w:pPr>
              <w:spacing w:after="0" w:line="240" w:lineRule="auto"/>
              <w:rPr>
                <w:rFonts w:ascii="Garamond" w:hAnsi="Garamond"/>
              </w:rPr>
            </w:pPr>
            <w:r w:rsidRPr="008918A0">
              <w:rPr>
                <w:rFonts w:ascii="Garamond" w:hAnsi="Garamond"/>
              </w:rPr>
              <w:t>Minority Status</w:t>
            </w:r>
          </w:p>
        </w:tc>
        <w:tc>
          <w:tcPr>
            <w:tcW w:w="0" w:type="auto"/>
            <w:hideMark/>
          </w:tcPr>
          <w:p w14:paraId="1AC1294A" w14:textId="77777777" w:rsidR="004540AE" w:rsidRPr="008918A0" w:rsidRDefault="004540AE" w:rsidP="00342BAA">
            <w:pPr>
              <w:spacing w:after="0" w:line="240" w:lineRule="auto"/>
              <w:rPr>
                <w:rFonts w:ascii="Garamond" w:hAnsi="Garamond"/>
              </w:rPr>
            </w:pPr>
            <w:r w:rsidRPr="008918A0">
              <w:rPr>
                <w:rFonts w:ascii="Garamond" w:hAnsi="Garamond"/>
              </w:rPr>
              <w:t>% Minority (non-</w:t>
            </w:r>
            <w:r>
              <w:rPr>
                <w:rFonts w:ascii="Garamond" w:hAnsi="Garamond"/>
              </w:rPr>
              <w:t xml:space="preserve">Hispanic </w:t>
            </w:r>
            <w:r w:rsidRPr="008918A0">
              <w:rPr>
                <w:rFonts w:ascii="Garamond" w:hAnsi="Garamond"/>
              </w:rPr>
              <w:t>White) population</w:t>
            </w:r>
          </w:p>
        </w:tc>
      </w:tr>
      <w:tr w:rsidR="004540AE" w:rsidRPr="008918A0" w14:paraId="551B0980" w14:textId="77777777" w:rsidTr="00342BAA">
        <w:tc>
          <w:tcPr>
            <w:tcW w:w="0" w:type="auto"/>
            <w:hideMark/>
          </w:tcPr>
          <w:p w14:paraId="2F9D831A" w14:textId="77777777" w:rsidR="004540AE" w:rsidRPr="008918A0" w:rsidRDefault="004540AE" w:rsidP="00342BAA">
            <w:pPr>
              <w:spacing w:after="0" w:line="240" w:lineRule="auto"/>
              <w:rPr>
                <w:rFonts w:ascii="Garamond" w:hAnsi="Garamond"/>
              </w:rPr>
            </w:pPr>
            <w:r w:rsidRPr="008918A0">
              <w:rPr>
                <w:rFonts w:ascii="Garamond" w:hAnsi="Garamond"/>
              </w:rPr>
              <w:t>Housing Type &amp; Transportation</w:t>
            </w:r>
          </w:p>
        </w:tc>
        <w:tc>
          <w:tcPr>
            <w:tcW w:w="0" w:type="auto"/>
            <w:hideMark/>
          </w:tcPr>
          <w:p w14:paraId="48BB50E4" w14:textId="77777777" w:rsidR="004540AE" w:rsidRPr="008918A0" w:rsidRDefault="004540AE" w:rsidP="00342BAA">
            <w:pPr>
              <w:spacing w:after="0" w:line="240" w:lineRule="auto"/>
              <w:rPr>
                <w:rFonts w:ascii="Garamond" w:hAnsi="Garamond"/>
              </w:rPr>
            </w:pPr>
            <w:r w:rsidRPr="008918A0">
              <w:rPr>
                <w:rFonts w:ascii="Garamond" w:hAnsi="Garamond"/>
              </w:rPr>
              <w:t>% Housing units that are multi-unit structures</w:t>
            </w:r>
          </w:p>
        </w:tc>
      </w:tr>
      <w:tr w:rsidR="004540AE" w:rsidRPr="008918A0" w14:paraId="49608CBA" w14:textId="77777777" w:rsidTr="00342BAA">
        <w:tc>
          <w:tcPr>
            <w:tcW w:w="0" w:type="auto"/>
          </w:tcPr>
          <w:p w14:paraId="09486911" w14:textId="77777777" w:rsidR="004540AE" w:rsidRPr="008918A0" w:rsidRDefault="004540AE" w:rsidP="00342BAA">
            <w:pPr>
              <w:spacing w:after="0" w:line="240" w:lineRule="auto"/>
              <w:rPr>
                <w:rFonts w:ascii="Garamond" w:hAnsi="Garamond"/>
              </w:rPr>
            </w:pPr>
          </w:p>
        </w:tc>
        <w:tc>
          <w:tcPr>
            <w:tcW w:w="0" w:type="auto"/>
            <w:hideMark/>
          </w:tcPr>
          <w:p w14:paraId="39F3646D" w14:textId="77777777" w:rsidR="004540AE" w:rsidRPr="008918A0" w:rsidRDefault="004540AE" w:rsidP="00342BAA">
            <w:pPr>
              <w:spacing w:after="0" w:line="240" w:lineRule="auto"/>
              <w:rPr>
                <w:rFonts w:ascii="Garamond" w:hAnsi="Garamond"/>
              </w:rPr>
            </w:pPr>
            <w:r w:rsidRPr="008918A0">
              <w:rPr>
                <w:rFonts w:ascii="Garamond" w:hAnsi="Garamond"/>
              </w:rPr>
              <w:t>% Mobile homes</w:t>
            </w:r>
          </w:p>
        </w:tc>
      </w:tr>
      <w:tr w:rsidR="004540AE" w:rsidRPr="008918A0" w14:paraId="5A0625EE" w14:textId="77777777" w:rsidTr="00342BAA">
        <w:tc>
          <w:tcPr>
            <w:tcW w:w="0" w:type="auto"/>
          </w:tcPr>
          <w:p w14:paraId="1803A153" w14:textId="77777777" w:rsidR="004540AE" w:rsidRPr="008918A0" w:rsidRDefault="004540AE" w:rsidP="00342BAA">
            <w:pPr>
              <w:spacing w:after="0" w:line="240" w:lineRule="auto"/>
              <w:rPr>
                <w:rFonts w:ascii="Garamond" w:hAnsi="Garamond"/>
              </w:rPr>
            </w:pPr>
          </w:p>
        </w:tc>
        <w:tc>
          <w:tcPr>
            <w:tcW w:w="0" w:type="auto"/>
            <w:hideMark/>
          </w:tcPr>
          <w:p w14:paraId="5E50BA41" w14:textId="77777777" w:rsidR="004540AE" w:rsidRPr="008918A0" w:rsidRDefault="004540AE" w:rsidP="00342BAA">
            <w:pPr>
              <w:spacing w:after="0" w:line="240" w:lineRule="auto"/>
              <w:rPr>
                <w:rFonts w:ascii="Garamond" w:hAnsi="Garamond"/>
              </w:rPr>
            </w:pPr>
            <w:r w:rsidRPr="008918A0">
              <w:rPr>
                <w:rFonts w:ascii="Garamond" w:hAnsi="Garamond"/>
              </w:rPr>
              <w:t>% Crowded households (&gt;1 person per room)</w:t>
            </w:r>
          </w:p>
        </w:tc>
      </w:tr>
      <w:tr w:rsidR="004540AE" w:rsidRPr="008918A0" w14:paraId="6847F155" w14:textId="77777777" w:rsidTr="00342BAA">
        <w:tc>
          <w:tcPr>
            <w:tcW w:w="0" w:type="auto"/>
          </w:tcPr>
          <w:p w14:paraId="38E9FEE4" w14:textId="77777777" w:rsidR="004540AE" w:rsidRPr="008918A0" w:rsidRDefault="004540AE" w:rsidP="00342BAA">
            <w:pPr>
              <w:spacing w:after="0" w:line="240" w:lineRule="auto"/>
              <w:rPr>
                <w:rFonts w:ascii="Garamond" w:hAnsi="Garamond"/>
              </w:rPr>
            </w:pPr>
          </w:p>
        </w:tc>
        <w:tc>
          <w:tcPr>
            <w:tcW w:w="0" w:type="auto"/>
            <w:hideMark/>
          </w:tcPr>
          <w:p w14:paraId="03E44C18" w14:textId="77777777" w:rsidR="004540AE" w:rsidRPr="008918A0" w:rsidRDefault="004540AE" w:rsidP="00342BAA">
            <w:pPr>
              <w:spacing w:after="0" w:line="240" w:lineRule="auto"/>
              <w:rPr>
                <w:rFonts w:ascii="Garamond" w:hAnsi="Garamond"/>
              </w:rPr>
            </w:pPr>
            <w:r w:rsidRPr="008918A0">
              <w:rPr>
                <w:rFonts w:ascii="Garamond" w:hAnsi="Garamond"/>
              </w:rPr>
              <w:t>% Households with no vehicle available</w:t>
            </w:r>
          </w:p>
        </w:tc>
      </w:tr>
      <w:tr w:rsidR="004540AE" w:rsidRPr="008918A0" w14:paraId="58900D50" w14:textId="77777777" w:rsidTr="00342BAA">
        <w:tc>
          <w:tcPr>
            <w:tcW w:w="0" w:type="auto"/>
          </w:tcPr>
          <w:p w14:paraId="2B02480F" w14:textId="77777777" w:rsidR="004540AE" w:rsidRPr="008918A0" w:rsidRDefault="004540AE" w:rsidP="00342BAA">
            <w:pPr>
              <w:spacing w:after="0" w:line="240" w:lineRule="auto"/>
              <w:rPr>
                <w:rFonts w:ascii="Garamond" w:hAnsi="Garamond"/>
              </w:rPr>
            </w:pPr>
          </w:p>
        </w:tc>
        <w:tc>
          <w:tcPr>
            <w:tcW w:w="0" w:type="auto"/>
            <w:hideMark/>
          </w:tcPr>
          <w:p w14:paraId="11933CCC" w14:textId="77777777" w:rsidR="004540AE" w:rsidRPr="008918A0" w:rsidRDefault="004540AE" w:rsidP="00342BAA">
            <w:pPr>
              <w:spacing w:after="0" w:line="240" w:lineRule="auto"/>
              <w:rPr>
                <w:rFonts w:ascii="Garamond" w:hAnsi="Garamond"/>
              </w:rPr>
            </w:pPr>
            <w:r w:rsidRPr="008918A0">
              <w:rPr>
                <w:rFonts w:ascii="Garamond" w:hAnsi="Garamond"/>
              </w:rPr>
              <w:t>% Persons in group quarters</w:t>
            </w:r>
          </w:p>
        </w:tc>
      </w:tr>
    </w:tbl>
    <w:p w14:paraId="295BA08A" w14:textId="77777777" w:rsidR="004540AE" w:rsidRDefault="004540AE" w:rsidP="004540AE">
      <w:pPr>
        <w:spacing w:after="0" w:line="240" w:lineRule="auto"/>
        <w:jc w:val="both"/>
        <w:rPr>
          <w:rFonts w:ascii="Garamond" w:hAnsi="Garamond"/>
        </w:rPr>
      </w:pPr>
    </w:p>
    <w:p w14:paraId="3B2A85E1" w14:textId="77777777" w:rsidR="004540AE" w:rsidRDefault="004540AE" w:rsidP="004540AE">
      <w:pPr>
        <w:spacing w:after="0" w:line="240" w:lineRule="auto"/>
        <w:jc w:val="both"/>
        <w:rPr>
          <w:rFonts w:ascii="Garamond" w:hAnsi="Garamond"/>
        </w:rPr>
      </w:pPr>
      <w:r w:rsidRPr="008918A0">
        <w:rPr>
          <w:rFonts w:ascii="Garamond" w:hAnsi="Garamond"/>
        </w:rPr>
        <w:t>.</w:t>
      </w:r>
    </w:p>
    <w:p w14:paraId="695EE7F8" w14:textId="77777777" w:rsidR="004540AE" w:rsidRDefault="004540AE" w:rsidP="004540AE">
      <w:pPr>
        <w:spacing w:after="0" w:line="240" w:lineRule="auto"/>
        <w:jc w:val="both"/>
        <w:rPr>
          <w:rFonts w:ascii="Garamond" w:hAnsi="Garamond"/>
        </w:rPr>
      </w:pPr>
    </w:p>
    <w:p w14:paraId="78F6101F" w14:textId="77777777" w:rsidR="004540AE" w:rsidRDefault="004540AE" w:rsidP="004540AE">
      <w:pPr>
        <w:spacing w:after="0" w:line="240" w:lineRule="auto"/>
        <w:jc w:val="both"/>
        <w:rPr>
          <w:rFonts w:ascii="Garamond" w:hAnsi="Garamond"/>
        </w:rPr>
        <w:sectPr w:rsidR="004540AE" w:rsidSect="004540AE">
          <w:footerReference w:type="default" r:id="rId14"/>
          <w:pgSz w:w="12240" w:h="15840"/>
          <w:pgMar w:top="1440" w:right="1440" w:bottom="1440" w:left="1440"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6"/>
        <w:gridCol w:w="681"/>
        <w:gridCol w:w="606"/>
        <w:gridCol w:w="423"/>
        <w:gridCol w:w="681"/>
        <w:gridCol w:w="606"/>
        <w:gridCol w:w="423"/>
        <w:gridCol w:w="669"/>
        <w:gridCol w:w="606"/>
        <w:gridCol w:w="423"/>
        <w:gridCol w:w="681"/>
        <w:gridCol w:w="606"/>
        <w:gridCol w:w="423"/>
        <w:gridCol w:w="996"/>
        <w:gridCol w:w="903"/>
        <w:gridCol w:w="630"/>
      </w:tblGrid>
      <w:tr w:rsidR="004540AE" w:rsidRPr="00976C73" w14:paraId="2DB447F7" w14:textId="77777777" w:rsidTr="00342BAA">
        <w:tc>
          <w:tcPr>
            <w:tcW w:w="0" w:type="auto"/>
            <w:gridSpan w:val="16"/>
            <w:tcBorders>
              <w:bottom w:val="double" w:sz="4" w:space="0" w:color="auto"/>
            </w:tcBorders>
          </w:tcPr>
          <w:p w14:paraId="12D57F35" w14:textId="77777777" w:rsidR="004540AE" w:rsidRPr="0029435F" w:rsidRDefault="004540AE" w:rsidP="00342BAA">
            <w:pPr>
              <w:rPr>
                <w:rFonts w:ascii="Garamond" w:hAnsi="Garamond"/>
              </w:rPr>
            </w:pPr>
            <w:r w:rsidRPr="0029435F">
              <w:rPr>
                <w:rFonts w:ascii="Garamond" w:hAnsi="Garamond"/>
              </w:rPr>
              <w:lastRenderedPageBreak/>
              <w:t xml:space="preserve">Appendix 2a: OLS Regression of Firearm Homicide Rates on SVI Composite and </w:t>
            </w:r>
          </w:p>
          <w:p w14:paraId="237DD72B" w14:textId="77777777" w:rsidR="004540AE" w:rsidRPr="0029435F" w:rsidRDefault="004540AE" w:rsidP="00342BAA">
            <w:pPr>
              <w:rPr>
                <w:rFonts w:ascii="Garamond" w:hAnsi="Garamond"/>
              </w:rPr>
            </w:pPr>
            <w:r w:rsidRPr="0029435F">
              <w:rPr>
                <w:rFonts w:ascii="Garamond" w:hAnsi="Garamond"/>
              </w:rPr>
              <w:t>Subthemes (N = 13,268 tracts)</w:t>
            </w:r>
          </w:p>
        </w:tc>
      </w:tr>
      <w:tr w:rsidR="004540AE" w:rsidRPr="00976C73" w14:paraId="1DB0C21F" w14:textId="77777777" w:rsidTr="00342BAA">
        <w:tc>
          <w:tcPr>
            <w:tcW w:w="0" w:type="auto"/>
            <w:tcBorders>
              <w:top w:val="double" w:sz="4" w:space="0" w:color="auto"/>
            </w:tcBorders>
          </w:tcPr>
          <w:p w14:paraId="7839A32C" w14:textId="77777777" w:rsidR="004540AE" w:rsidRPr="0029435F" w:rsidRDefault="004540AE" w:rsidP="00342BAA">
            <w:pPr>
              <w:rPr>
                <w:rFonts w:ascii="Garamond" w:hAnsi="Garamond"/>
              </w:rPr>
            </w:pPr>
          </w:p>
        </w:tc>
        <w:tc>
          <w:tcPr>
            <w:tcW w:w="0" w:type="auto"/>
            <w:gridSpan w:val="3"/>
            <w:tcBorders>
              <w:top w:val="double" w:sz="4" w:space="0" w:color="auto"/>
              <w:bottom w:val="single" w:sz="4" w:space="0" w:color="auto"/>
            </w:tcBorders>
          </w:tcPr>
          <w:p w14:paraId="5635C405" w14:textId="77777777" w:rsidR="004540AE" w:rsidRPr="0029435F" w:rsidRDefault="004540AE" w:rsidP="00342BAA">
            <w:pPr>
              <w:jc w:val="center"/>
              <w:rPr>
                <w:rFonts w:ascii="Garamond" w:hAnsi="Garamond"/>
              </w:rPr>
            </w:pPr>
            <w:r w:rsidRPr="0029435F">
              <w:rPr>
                <w:rFonts w:ascii="Garamond" w:hAnsi="Garamond"/>
              </w:rPr>
              <w:t>Model 1</w:t>
            </w:r>
          </w:p>
        </w:tc>
        <w:tc>
          <w:tcPr>
            <w:tcW w:w="0" w:type="auto"/>
            <w:gridSpan w:val="3"/>
            <w:tcBorders>
              <w:top w:val="double" w:sz="4" w:space="0" w:color="auto"/>
              <w:bottom w:val="single" w:sz="4" w:space="0" w:color="auto"/>
            </w:tcBorders>
          </w:tcPr>
          <w:p w14:paraId="67ADE987" w14:textId="77777777" w:rsidR="004540AE" w:rsidRPr="0029435F" w:rsidRDefault="004540AE" w:rsidP="00342BAA">
            <w:pPr>
              <w:jc w:val="center"/>
              <w:rPr>
                <w:rFonts w:ascii="Garamond" w:hAnsi="Garamond"/>
              </w:rPr>
            </w:pPr>
            <w:r w:rsidRPr="0029435F">
              <w:rPr>
                <w:rFonts w:ascii="Garamond" w:hAnsi="Garamond"/>
              </w:rPr>
              <w:t>Model 2</w:t>
            </w:r>
          </w:p>
        </w:tc>
        <w:tc>
          <w:tcPr>
            <w:tcW w:w="0" w:type="auto"/>
            <w:gridSpan w:val="3"/>
            <w:tcBorders>
              <w:top w:val="double" w:sz="4" w:space="0" w:color="auto"/>
              <w:bottom w:val="single" w:sz="4" w:space="0" w:color="auto"/>
            </w:tcBorders>
          </w:tcPr>
          <w:p w14:paraId="15E4C799" w14:textId="77777777" w:rsidR="004540AE" w:rsidRPr="0029435F" w:rsidRDefault="004540AE" w:rsidP="00342BAA">
            <w:pPr>
              <w:jc w:val="center"/>
              <w:rPr>
                <w:rFonts w:ascii="Garamond" w:hAnsi="Garamond"/>
              </w:rPr>
            </w:pPr>
            <w:r w:rsidRPr="0029435F">
              <w:rPr>
                <w:rFonts w:ascii="Garamond" w:hAnsi="Garamond"/>
              </w:rPr>
              <w:t>Model 3</w:t>
            </w:r>
          </w:p>
        </w:tc>
        <w:tc>
          <w:tcPr>
            <w:tcW w:w="0" w:type="auto"/>
            <w:gridSpan w:val="3"/>
            <w:tcBorders>
              <w:top w:val="double" w:sz="4" w:space="0" w:color="auto"/>
              <w:bottom w:val="single" w:sz="4" w:space="0" w:color="auto"/>
            </w:tcBorders>
          </w:tcPr>
          <w:p w14:paraId="04C9ED1C" w14:textId="77777777" w:rsidR="004540AE" w:rsidRPr="0029435F" w:rsidRDefault="004540AE" w:rsidP="00342BAA">
            <w:pPr>
              <w:jc w:val="center"/>
              <w:rPr>
                <w:rFonts w:ascii="Garamond" w:hAnsi="Garamond"/>
              </w:rPr>
            </w:pPr>
            <w:r w:rsidRPr="0029435F">
              <w:rPr>
                <w:rFonts w:ascii="Garamond" w:hAnsi="Garamond"/>
              </w:rPr>
              <w:t>Model 4</w:t>
            </w:r>
          </w:p>
        </w:tc>
        <w:tc>
          <w:tcPr>
            <w:tcW w:w="0" w:type="auto"/>
            <w:gridSpan w:val="3"/>
            <w:tcBorders>
              <w:top w:val="double" w:sz="4" w:space="0" w:color="auto"/>
              <w:bottom w:val="single" w:sz="4" w:space="0" w:color="auto"/>
            </w:tcBorders>
          </w:tcPr>
          <w:p w14:paraId="519A0B4F" w14:textId="77777777" w:rsidR="004540AE" w:rsidRPr="0029435F" w:rsidRDefault="004540AE" w:rsidP="00342BAA">
            <w:pPr>
              <w:jc w:val="center"/>
              <w:rPr>
                <w:rFonts w:ascii="Garamond" w:hAnsi="Garamond"/>
              </w:rPr>
            </w:pPr>
            <w:r w:rsidRPr="0029435F">
              <w:rPr>
                <w:rFonts w:ascii="Garamond" w:hAnsi="Garamond"/>
              </w:rPr>
              <w:t>Model 5</w:t>
            </w:r>
          </w:p>
        </w:tc>
      </w:tr>
      <w:tr w:rsidR="004540AE" w:rsidRPr="00976C73" w14:paraId="3DCBE224" w14:textId="77777777" w:rsidTr="00342BAA">
        <w:tc>
          <w:tcPr>
            <w:tcW w:w="0" w:type="auto"/>
            <w:tcBorders>
              <w:top w:val="single" w:sz="4" w:space="0" w:color="auto"/>
            </w:tcBorders>
          </w:tcPr>
          <w:p w14:paraId="2113F2BC" w14:textId="77777777" w:rsidR="004540AE" w:rsidRPr="0029435F" w:rsidRDefault="004540AE" w:rsidP="00342BAA">
            <w:pPr>
              <w:jc w:val="right"/>
              <w:rPr>
                <w:rFonts w:ascii="Garamond" w:hAnsi="Garamond"/>
              </w:rPr>
            </w:pPr>
          </w:p>
        </w:tc>
        <w:tc>
          <w:tcPr>
            <w:tcW w:w="0" w:type="auto"/>
            <w:gridSpan w:val="3"/>
            <w:tcBorders>
              <w:top w:val="single" w:sz="4" w:space="0" w:color="auto"/>
              <w:bottom w:val="single" w:sz="4" w:space="0" w:color="auto"/>
            </w:tcBorders>
          </w:tcPr>
          <w:p w14:paraId="1553D71D" w14:textId="77777777" w:rsidR="004540AE" w:rsidRPr="0029435F" w:rsidRDefault="004540AE" w:rsidP="00342BAA">
            <w:pPr>
              <w:jc w:val="center"/>
              <w:rPr>
                <w:rFonts w:ascii="Garamond" w:hAnsi="Garamond"/>
              </w:rPr>
            </w:pPr>
            <w:r w:rsidRPr="0029435F">
              <w:rPr>
                <w:rFonts w:ascii="Garamond" w:hAnsi="Garamond"/>
              </w:rPr>
              <w:t>Composite</w:t>
            </w:r>
          </w:p>
          <w:p w14:paraId="4C702B95" w14:textId="77777777" w:rsidR="004540AE" w:rsidRPr="0029435F" w:rsidRDefault="004540AE" w:rsidP="00342BAA">
            <w:pPr>
              <w:jc w:val="center"/>
              <w:rPr>
                <w:rFonts w:ascii="Garamond" w:hAnsi="Garamond"/>
              </w:rPr>
            </w:pPr>
            <w:r w:rsidRPr="0029435F">
              <w:rPr>
                <w:rFonts w:ascii="Garamond" w:hAnsi="Garamond"/>
              </w:rPr>
              <w:t>SVI</w:t>
            </w:r>
          </w:p>
        </w:tc>
        <w:tc>
          <w:tcPr>
            <w:tcW w:w="0" w:type="auto"/>
            <w:gridSpan w:val="3"/>
            <w:tcBorders>
              <w:top w:val="single" w:sz="4" w:space="0" w:color="auto"/>
              <w:bottom w:val="single" w:sz="4" w:space="0" w:color="auto"/>
            </w:tcBorders>
          </w:tcPr>
          <w:p w14:paraId="0644C7E0" w14:textId="77777777" w:rsidR="004540AE" w:rsidRPr="0029435F" w:rsidRDefault="004540AE" w:rsidP="00342BAA">
            <w:pPr>
              <w:jc w:val="center"/>
              <w:rPr>
                <w:rFonts w:ascii="Garamond" w:hAnsi="Garamond"/>
              </w:rPr>
            </w:pPr>
            <w:r w:rsidRPr="0029435F">
              <w:rPr>
                <w:rFonts w:ascii="Garamond" w:hAnsi="Garamond"/>
              </w:rPr>
              <w:t>Theme 1:</w:t>
            </w:r>
          </w:p>
          <w:p w14:paraId="17B4A090" w14:textId="77777777" w:rsidR="004540AE" w:rsidRPr="0029435F" w:rsidRDefault="004540AE" w:rsidP="00342BAA">
            <w:pPr>
              <w:jc w:val="center"/>
              <w:rPr>
                <w:rFonts w:ascii="Garamond" w:hAnsi="Garamond"/>
              </w:rPr>
            </w:pPr>
            <w:r w:rsidRPr="0029435F">
              <w:rPr>
                <w:rFonts w:ascii="Garamond" w:hAnsi="Garamond"/>
              </w:rPr>
              <w:t>SES</w:t>
            </w:r>
          </w:p>
        </w:tc>
        <w:tc>
          <w:tcPr>
            <w:tcW w:w="0" w:type="auto"/>
            <w:gridSpan w:val="3"/>
            <w:tcBorders>
              <w:top w:val="single" w:sz="4" w:space="0" w:color="auto"/>
              <w:bottom w:val="single" w:sz="4" w:space="0" w:color="auto"/>
            </w:tcBorders>
          </w:tcPr>
          <w:p w14:paraId="07807308" w14:textId="77777777" w:rsidR="004540AE" w:rsidRPr="0029435F" w:rsidRDefault="004540AE" w:rsidP="00342BAA">
            <w:pPr>
              <w:jc w:val="center"/>
              <w:rPr>
                <w:rFonts w:ascii="Garamond" w:hAnsi="Garamond"/>
              </w:rPr>
            </w:pPr>
            <w:r w:rsidRPr="0029435F">
              <w:rPr>
                <w:rFonts w:ascii="Garamond" w:hAnsi="Garamond"/>
              </w:rPr>
              <w:t xml:space="preserve">Theme 2: </w:t>
            </w:r>
          </w:p>
          <w:p w14:paraId="65C9AEA7" w14:textId="77777777" w:rsidR="004540AE" w:rsidRPr="0029435F" w:rsidRDefault="004540AE" w:rsidP="00342BAA">
            <w:pPr>
              <w:jc w:val="center"/>
              <w:rPr>
                <w:rFonts w:ascii="Garamond" w:hAnsi="Garamond"/>
              </w:rPr>
            </w:pPr>
            <w:r w:rsidRPr="0029435F">
              <w:rPr>
                <w:rFonts w:ascii="Garamond" w:hAnsi="Garamond"/>
              </w:rPr>
              <w:t>Households</w:t>
            </w:r>
          </w:p>
        </w:tc>
        <w:tc>
          <w:tcPr>
            <w:tcW w:w="0" w:type="auto"/>
            <w:gridSpan w:val="3"/>
            <w:tcBorders>
              <w:top w:val="single" w:sz="4" w:space="0" w:color="auto"/>
              <w:bottom w:val="single" w:sz="4" w:space="0" w:color="auto"/>
            </w:tcBorders>
          </w:tcPr>
          <w:p w14:paraId="053E3814" w14:textId="77777777" w:rsidR="004540AE" w:rsidRPr="0029435F" w:rsidRDefault="004540AE" w:rsidP="00342BAA">
            <w:pPr>
              <w:jc w:val="center"/>
              <w:rPr>
                <w:rFonts w:ascii="Garamond" w:hAnsi="Garamond"/>
              </w:rPr>
            </w:pPr>
            <w:r w:rsidRPr="0029435F">
              <w:rPr>
                <w:rFonts w:ascii="Garamond" w:hAnsi="Garamond"/>
              </w:rPr>
              <w:t xml:space="preserve">Theme 3: </w:t>
            </w:r>
          </w:p>
          <w:p w14:paraId="3EFA10F6" w14:textId="77777777" w:rsidR="004540AE" w:rsidRPr="0029435F" w:rsidRDefault="004540AE" w:rsidP="00342BAA">
            <w:pPr>
              <w:jc w:val="center"/>
              <w:rPr>
                <w:rFonts w:ascii="Garamond" w:hAnsi="Garamond"/>
              </w:rPr>
            </w:pPr>
            <w:r w:rsidRPr="0029435F">
              <w:rPr>
                <w:rFonts w:ascii="Garamond" w:hAnsi="Garamond"/>
              </w:rPr>
              <w:t>Race/Ethnicity</w:t>
            </w:r>
          </w:p>
        </w:tc>
        <w:tc>
          <w:tcPr>
            <w:tcW w:w="0" w:type="auto"/>
            <w:gridSpan w:val="3"/>
            <w:tcBorders>
              <w:top w:val="single" w:sz="4" w:space="0" w:color="auto"/>
              <w:bottom w:val="single" w:sz="4" w:space="0" w:color="auto"/>
            </w:tcBorders>
          </w:tcPr>
          <w:p w14:paraId="1A6981F7" w14:textId="77777777" w:rsidR="004540AE" w:rsidRPr="0029435F" w:rsidRDefault="004540AE" w:rsidP="00342BAA">
            <w:pPr>
              <w:jc w:val="center"/>
              <w:rPr>
                <w:rFonts w:ascii="Garamond" w:hAnsi="Garamond"/>
              </w:rPr>
            </w:pPr>
            <w:r w:rsidRPr="0029435F">
              <w:rPr>
                <w:rFonts w:ascii="Garamond" w:hAnsi="Garamond"/>
              </w:rPr>
              <w:t xml:space="preserve">Theme 4: </w:t>
            </w:r>
          </w:p>
          <w:p w14:paraId="5CAB96FA" w14:textId="77777777" w:rsidR="004540AE" w:rsidRPr="0029435F" w:rsidRDefault="004540AE" w:rsidP="00342BAA">
            <w:pPr>
              <w:jc w:val="center"/>
              <w:rPr>
                <w:rFonts w:ascii="Garamond" w:hAnsi="Garamond"/>
              </w:rPr>
            </w:pPr>
            <w:r w:rsidRPr="0029435F">
              <w:rPr>
                <w:rFonts w:ascii="Garamond" w:hAnsi="Garamond"/>
              </w:rPr>
              <w:t>Housing/Transportation</w:t>
            </w:r>
          </w:p>
        </w:tc>
      </w:tr>
      <w:tr w:rsidR="004540AE" w:rsidRPr="0029435F" w14:paraId="007467FD" w14:textId="77777777" w:rsidTr="00342BAA">
        <w:tc>
          <w:tcPr>
            <w:tcW w:w="0" w:type="auto"/>
          </w:tcPr>
          <w:p w14:paraId="51AF5971" w14:textId="77777777" w:rsidR="004540AE" w:rsidRPr="0029435F" w:rsidRDefault="004540AE" w:rsidP="00342BAA">
            <w:pPr>
              <w:jc w:val="right"/>
              <w:rPr>
                <w:rFonts w:ascii="Garamond" w:hAnsi="Garamond"/>
              </w:rPr>
            </w:pPr>
          </w:p>
        </w:tc>
        <w:tc>
          <w:tcPr>
            <w:tcW w:w="0" w:type="auto"/>
            <w:tcBorders>
              <w:top w:val="single" w:sz="4" w:space="0" w:color="auto"/>
              <w:bottom w:val="single" w:sz="4" w:space="0" w:color="auto"/>
            </w:tcBorders>
          </w:tcPr>
          <w:p w14:paraId="4F072023" w14:textId="77777777" w:rsidR="004540AE" w:rsidRPr="00976C73" w:rsidRDefault="004540AE" w:rsidP="00342BAA">
            <w:pPr>
              <w:jc w:val="right"/>
              <w:rPr>
                <w:rFonts w:ascii="Garamond" w:eastAsiaTheme="minorEastAsia" w:hAnsi="Garamond"/>
                <w:lang w:eastAsia="ko-KR"/>
              </w:rPr>
            </w:pPr>
            <w:proofErr w:type="spellStart"/>
            <w:r>
              <w:rPr>
                <w:rFonts w:ascii="Garamond" w:eastAsiaTheme="minorEastAsia" w:hAnsi="Garamond" w:hint="eastAsia"/>
                <w:lang w:eastAsia="ko-KR"/>
              </w:rPr>
              <w:t>Coef</w:t>
            </w:r>
            <w:proofErr w:type="spellEnd"/>
          </w:p>
        </w:tc>
        <w:tc>
          <w:tcPr>
            <w:tcW w:w="0" w:type="auto"/>
            <w:tcBorders>
              <w:top w:val="single" w:sz="4" w:space="0" w:color="auto"/>
              <w:bottom w:val="single" w:sz="4" w:space="0" w:color="auto"/>
            </w:tcBorders>
          </w:tcPr>
          <w:p w14:paraId="5F68C19E" w14:textId="77777777" w:rsidR="004540AE" w:rsidRPr="0029435F" w:rsidRDefault="004540AE" w:rsidP="00342BAA">
            <w:pPr>
              <w:jc w:val="right"/>
              <w:rPr>
                <w:rFonts w:ascii="Garamond" w:hAnsi="Garamond"/>
              </w:rPr>
            </w:pPr>
            <w:r w:rsidRPr="0029435F">
              <w:rPr>
                <w:rFonts w:ascii="Garamond" w:hAnsi="Garamond"/>
              </w:rPr>
              <w:t>SE</w:t>
            </w:r>
          </w:p>
        </w:tc>
        <w:tc>
          <w:tcPr>
            <w:tcW w:w="0" w:type="auto"/>
            <w:tcBorders>
              <w:top w:val="single" w:sz="4" w:space="0" w:color="auto"/>
              <w:bottom w:val="single" w:sz="4" w:space="0" w:color="auto"/>
            </w:tcBorders>
            <w:tcMar>
              <w:left w:w="0" w:type="dxa"/>
              <w:right w:w="115" w:type="dxa"/>
            </w:tcMar>
          </w:tcPr>
          <w:p w14:paraId="50D8C19C" w14:textId="77777777" w:rsidR="004540AE" w:rsidRPr="0029435F" w:rsidRDefault="004540AE" w:rsidP="00342BAA">
            <w:pPr>
              <w:rPr>
                <w:rFonts w:ascii="Garamond" w:hAnsi="Garamond"/>
              </w:rPr>
            </w:pPr>
          </w:p>
        </w:tc>
        <w:tc>
          <w:tcPr>
            <w:tcW w:w="0" w:type="auto"/>
            <w:tcBorders>
              <w:top w:val="single" w:sz="4" w:space="0" w:color="auto"/>
              <w:bottom w:val="single" w:sz="4" w:space="0" w:color="auto"/>
            </w:tcBorders>
          </w:tcPr>
          <w:p w14:paraId="26885723" w14:textId="77777777" w:rsidR="004540AE" w:rsidRPr="0029435F" w:rsidRDefault="004540AE" w:rsidP="00342BAA">
            <w:pPr>
              <w:jc w:val="right"/>
              <w:rPr>
                <w:rFonts w:ascii="Garamond" w:hAnsi="Garamond"/>
              </w:rPr>
            </w:pPr>
            <w:proofErr w:type="spellStart"/>
            <w:r>
              <w:rPr>
                <w:rFonts w:ascii="Garamond" w:eastAsiaTheme="minorEastAsia" w:hAnsi="Garamond" w:hint="eastAsia"/>
                <w:lang w:eastAsia="ko-KR"/>
              </w:rPr>
              <w:t>Coef</w:t>
            </w:r>
            <w:proofErr w:type="spellEnd"/>
          </w:p>
        </w:tc>
        <w:tc>
          <w:tcPr>
            <w:tcW w:w="0" w:type="auto"/>
            <w:tcBorders>
              <w:top w:val="single" w:sz="4" w:space="0" w:color="auto"/>
              <w:bottom w:val="single" w:sz="4" w:space="0" w:color="auto"/>
            </w:tcBorders>
          </w:tcPr>
          <w:p w14:paraId="5783AEE8" w14:textId="77777777" w:rsidR="004540AE" w:rsidRPr="0029435F" w:rsidRDefault="004540AE" w:rsidP="00342BAA">
            <w:pPr>
              <w:jc w:val="right"/>
              <w:rPr>
                <w:rFonts w:ascii="Garamond" w:hAnsi="Garamond"/>
              </w:rPr>
            </w:pPr>
            <w:r w:rsidRPr="0029435F">
              <w:rPr>
                <w:rFonts w:ascii="Garamond" w:hAnsi="Garamond"/>
              </w:rPr>
              <w:t>SE</w:t>
            </w:r>
          </w:p>
        </w:tc>
        <w:tc>
          <w:tcPr>
            <w:tcW w:w="0" w:type="auto"/>
            <w:tcBorders>
              <w:top w:val="single" w:sz="4" w:space="0" w:color="auto"/>
              <w:bottom w:val="single" w:sz="4" w:space="0" w:color="auto"/>
            </w:tcBorders>
            <w:tcMar>
              <w:left w:w="0" w:type="dxa"/>
              <w:right w:w="115" w:type="dxa"/>
            </w:tcMar>
          </w:tcPr>
          <w:p w14:paraId="71D9E846" w14:textId="77777777" w:rsidR="004540AE" w:rsidRPr="0029435F" w:rsidRDefault="004540AE" w:rsidP="00342BAA">
            <w:pPr>
              <w:rPr>
                <w:rFonts w:ascii="Garamond" w:hAnsi="Garamond"/>
              </w:rPr>
            </w:pPr>
          </w:p>
        </w:tc>
        <w:tc>
          <w:tcPr>
            <w:tcW w:w="0" w:type="auto"/>
            <w:tcBorders>
              <w:top w:val="single" w:sz="4" w:space="0" w:color="auto"/>
              <w:bottom w:val="single" w:sz="4" w:space="0" w:color="auto"/>
            </w:tcBorders>
          </w:tcPr>
          <w:p w14:paraId="4FB0B825" w14:textId="77777777" w:rsidR="004540AE" w:rsidRPr="0029435F" w:rsidRDefault="004540AE" w:rsidP="00342BAA">
            <w:pPr>
              <w:jc w:val="right"/>
              <w:rPr>
                <w:rFonts w:ascii="Garamond" w:hAnsi="Garamond"/>
              </w:rPr>
            </w:pPr>
            <w:proofErr w:type="spellStart"/>
            <w:r>
              <w:rPr>
                <w:rFonts w:ascii="Garamond" w:eastAsiaTheme="minorEastAsia" w:hAnsi="Garamond" w:hint="eastAsia"/>
                <w:lang w:eastAsia="ko-KR"/>
              </w:rPr>
              <w:t>Coef</w:t>
            </w:r>
            <w:proofErr w:type="spellEnd"/>
          </w:p>
        </w:tc>
        <w:tc>
          <w:tcPr>
            <w:tcW w:w="0" w:type="auto"/>
            <w:tcBorders>
              <w:top w:val="single" w:sz="4" w:space="0" w:color="auto"/>
              <w:bottom w:val="single" w:sz="4" w:space="0" w:color="auto"/>
            </w:tcBorders>
          </w:tcPr>
          <w:p w14:paraId="499540E0" w14:textId="77777777" w:rsidR="004540AE" w:rsidRPr="0029435F" w:rsidRDefault="004540AE" w:rsidP="00342BAA">
            <w:pPr>
              <w:jc w:val="right"/>
              <w:rPr>
                <w:rFonts w:ascii="Garamond" w:hAnsi="Garamond"/>
              </w:rPr>
            </w:pPr>
            <w:r w:rsidRPr="0029435F">
              <w:rPr>
                <w:rFonts w:ascii="Garamond" w:hAnsi="Garamond"/>
              </w:rPr>
              <w:t>SE</w:t>
            </w:r>
          </w:p>
        </w:tc>
        <w:tc>
          <w:tcPr>
            <w:tcW w:w="0" w:type="auto"/>
            <w:tcBorders>
              <w:top w:val="single" w:sz="4" w:space="0" w:color="auto"/>
              <w:bottom w:val="single" w:sz="4" w:space="0" w:color="auto"/>
            </w:tcBorders>
            <w:tcMar>
              <w:left w:w="0" w:type="dxa"/>
              <w:right w:w="115" w:type="dxa"/>
            </w:tcMar>
          </w:tcPr>
          <w:p w14:paraId="7DE6BE9E" w14:textId="77777777" w:rsidR="004540AE" w:rsidRPr="0029435F" w:rsidRDefault="004540AE" w:rsidP="00342BAA">
            <w:pPr>
              <w:rPr>
                <w:rFonts w:ascii="Garamond" w:hAnsi="Garamond"/>
              </w:rPr>
            </w:pPr>
          </w:p>
        </w:tc>
        <w:tc>
          <w:tcPr>
            <w:tcW w:w="0" w:type="auto"/>
            <w:tcBorders>
              <w:top w:val="single" w:sz="4" w:space="0" w:color="auto"/>
              <w:bottom w:val="single" w:sz="4" w:space="0" w:color="auto"/>
            </w:tcBorders>
          </w:tcPr>
          <w:p w14:paraId="182BAD29" w14:textId="77777777" w:rsidR="004540AE" w:rsidRPr="0029435F" w:rsidRDefault="004540AE" w:rsidP="00342BAA">
            <w:pPr>
              <w:jc w:val="right"/>
              <w:rPr>
                <w:rFonts w:ascii="Garamond" w:hAnsi="Garamond"/>
              </w:rPr>
            </w:pPr>
            <w:proofErr w:type="spellStart"/>
            <w:r>
              <w:rPr>
                <w:rFonts w:ascii="Garamond" w:eastAsiaTheme="minorEastAsia" w:hAnsi="Garamond" w:hint="eastAsia"/>
                <w:lang w:eastAsia="ko-KR"/>
              </w:rPr>
              <w:t>Coef</w:t>
            </w:r>
            <w:proofErr w:type="spellEnd"/>
          </w:p>
        </w:tc>
        <w:tc>
          <w:tcPr>
            <w:tcW w:w="0" w:type="auto"/>
            <w:tcBorders>
              <w:top w:val="single" w:sz="4" w:space="0" w:color="auto"/>
              <w:bottom w:val="single" w:sz="4" w:space="0" w:color="auto"/>
            </w:tcBorders>
          </w:tcPr>
          <w:p w14:paraId="5E9EB7D0" w14:textId="77777777" w:rsidR="004540AE" w:rsidRPr="0029435F" w:rsidRDefault="004540AE" w:rsidP="00342BAA">
            <w:pPr>
              <w:jc w:val="right"/>
              <w:rPr>
                <w:rFonts w:ascii="Garamond" w:hAnsi="Garamond"/>
              </w:rPr>
            </w:pPr>
            <w:r w:rsidRPr="0029435F">
              <w:rPr>
                <w:rFonts w:ascii="Garamond" w:hAnsi="Garamond"/>
              </w:rPr>
              <w:t>SE</w:t>
            </w:r>
          </w:p>
        </w:tc>
        <w:tc>
          <w:tcPr>
            <w:tcW w:w="0" w:type="auto"/>
            <w:tcBorders>
              <w:top w:val="single" w:sz="4" w:space="0" w:color="auto"/>
              <w:bottom w:val="single" w:sz="4" w:space="0" w:color="auto"/>
            </w:tcBorders>
            <w:tcMar>
              <w:left w:w="0" w:type="dxa"/>
              <w:right w:w="115" w:type="dxa"/>
            </w:tcMar>
          </w:tcPr>
          <w:p w14:paraId="09FE9011" w14:textId="77777777" w:rsidR="004540AE" w:rsidRPr="0029435F" w:rsidRDefault="004540AE" w:rsidP="00342BAA">
            <w:pPr>
              <w:rPr>
                <w:rFonts w:ascii="Garamond" w:hAnsi="Garamond"/>
              </w:rPr>
            </w:pPr>
          </w:p>
        </w:tc>
        <w:tc>
          <w:tcPr>
            <w:tcW w:w="0" w:type="auto"/>
            <w:tcBorders>
              <w:top w:val="single" w:sz="4" w:space="0" w:color="auto"/>
              <w:bottom w:val="single" w:sz="4" w:space="0" w:color="auto"/>
            </w:tcBorders>
          </w:tcPr>
          <w:p w14:paraId="05E98611" w14:textId="77777777" w:rsidR="004540AE" w:rsidRPr="0029435F" w:rsidRDefault="004540AE" w:rsidP="00342BAA">
            <w:pPr>
              <w:jc w:val="right"/>
              <w:rPr>
                <w:rFonts w:ascii="Garamond" w:hAnsi="Garamond"/>
              </w:rPr>
            </w:pPr>
            <w:proofErr w:type="spellStart"/>
            <w:r>
              <w:rPr>
                <w:rFonts w:ascii="Garamond" w:eastAsiaTheme="minorEastAsia" w:hAnsi="Garamond" w:hint="eastAsia"/>
                <w:lang w:eastAsia="ko-KR"/>
              </w:rPr>
              <w:t>Coef</w:t>
            </w:r>
            <w:proofErr w:type="spellEnd"/>
          </w:p>
        </w:tc>
        <w:tc>
          <w:tcPr>
            <w:tcW w:w="0" w:type="auto"/>
            <w:tcBorders>
              <w:top w:val="single" w:sz="4" w:space="0" w:color="auto"/>
              <w:bottom w:val="single" w:sz="4" w:space="0" w:color="auto"/>
            </w:tcBorders>
          </w:tcPr>
          <w:p w14:paraId="6AC8DBE4" w14:textId="77777777" w:rsidR="004540AE" w:rsidRPr="0029435F" w:rsidRDefault="004540AE" w:rsidP="00342BAA">
            <w:pPr>
              <w:jc w:val="right"/>
              <w:rPr>
                <w:rFonts w:ascii="Garamond" w:hAnsi="Garamond"/>
              </w:rPr>
            </w:pPr>
            <w:r w:rsidRPr="0029435F">
              <w:rPr>
                <w:rFonts w:ascii="Garamond" w:hAnsi="Garamond"/>
              </w:rPr>
              <w:t>SE</w:t>
            </w:r>
          </w:p>
        </w:tc>
        <w:tc>
          <w:tcPr>
            <w:tcW w:w="0" w:type="auto"/>
            <w:tcBorders>
              <w:top w:val="single" w:sz="4" w:space="0" w:color="auto"/>
              <w:bottom w:val="single" w:sz="4" w:space="0" w:color="auto"/>
            </w:tcBorders>
            <w:tcMar>
              <w:left w:w="0" w:type="dxa"/>
              <w:right w:w="115" w:type="dxa"/>
            </w:tcMar>
          </w:tcPr>
          <w:p w14:paraId="36A8AFFE" w14:textId="77777777" w:rsidR="004540AE" w:rsidRPr="0029435F" w:rsidRDefault="004540AE" w:rsidP="00342BAA">
            <w:pPr>
              <w:rPr>
                <w:rFonts w:ascii="Garamond" w:hAnsi="Garamond"/>
              </w:rPr>
            </w:pPr>
          </w:p>
        </w:tc>
      </w:tr>
      <w:tr w:rsidR="004540AE" w:rsidRPr="00976C73" w14:paraId="389F3456" w14:textId="77777777" w:rsidTr="00342BAA">
        <w:tc>
          <w:tcPr>
            <w:tcW w:w="0" w:type="auto"/>
          </w:tcPr>
          <w:p w14:paraId="0CC5F7AE" w14:textId="77777777" w:rsidR="004540AE" w:rsidRPr="0029435F" w:rsidRDefault="004540AE" w:rsidP="00342BAA">
            <w:pPr>
              <w:jc w:val="right"/>
              <w:rPr>
                <w:rFonts w:ascii="Garamond" w:hAnsi="Garamond"/>
              </w:rPr>
            </w:pPr>
            <w:r w:rsidRPr="0029435F">
              <w:rPr>
                <w:rFonts w:ascii="Garamond" w:hAnsi="Garamond"/>
              </w:rPr>
              <w:t>Intercept</w:t>
            </w:r>
          </w:p>
        </w:tc>
        <w:tc>
          <w:tcPr>
            <w:tcW w:w="0" w:type="auto"/>
            <w:tcBorders>
              <w:top w:val="single" w:sz="4" w:space="0" w:color="auto"/>
            </w:tcBorders>
            <w:vAlign w:val="bottom"/>
          </w:tcPr>
          <w:p w14:paraId="21BB8C7B" w14:textId="77777777" w:rsidR="004540AE" w:rsidRPr="00647591" w:rsidRDefault="004540AE" w:rsidP="00342BAA">
            <w:pPr>
              <w:jc w:val="right"/>
              <w:rPr>
                <w:rFonts w:ascii="Garamond" w:eastAsiaTheme="minorEastAsia" w:hAnsi="Garamond"/>
                <w:lang w:eastAsia="ko-KR"/>
              </w:rPr>
            </w:pPr>
            <w:r w:rsidRPr="00976C73">
              <w:rPr>
                <w:rFonts w:ascii="Garamond" w:hAnsi="Garamond" w:cs="Arial"/>
              </w:rPr>
              <w:t>-0.1</w:t>
            </w:r>
            <w:r>
              <w:rPr>
                <w:rFonts w:ascii="Garamond" w:eastAsiaTheme="minorEastAsia" w:hAnsi="Garamond" w:cs="Arial" w:hint="eastAsia"/>
                <w:lang w:eastAsia="ko-KR"/>
              </w:rPr>
              <w:t>0</w:t>
            </w:r>
          </w:p>
        </w:tc>
        <w:tc>
          <w:tcPr>
            <w:tcW w:w="0" w:type="auto"/>
            <w:tcBorders>
              <w:top w:val="single" w:sz="4" w:space="0" w:color="auto"/>
            </w:tcBorders>
            <w:vAlign w:val="bottom"/>
          </w:tcPr>
          <w:p w14:paraId="3309077D" w14:textId="77777777" w:rsidR="004540AE" w:rsidRPr="00976C73" w:rsidRDefault="004540AE" w:rsidP="00342BAA">
            <w:pPr>
              <w:jc w:val="right"/>
              <w:rPr>
                <w:rFonts w:ascii="Garamond" w:hAnsi="Garamond"/>
              </w:rPr>
            </w:pPr>
            <w:r w:rsidRPr="00976C73">
              <w:rPr>
                <w:rFonts w:ascii="Garamond" w:hAnsi="Garamond" w:cs="Arial"/>
              </w:rPr>
              <w:t>0.06</w:t>
            </w:r>
          </w:p>
        </w:tc>
        <w:tc>
          <w:tcPr>
            <w:tcW w:w="0" w:type="auto"/>
            <w:tcBorders>
              <w:top w:val="single" w:sz="4" w:space="0" w:color="auto"/>
            </w:tcBorders>
            <w:tcMar>
              <w:left w:w="0" w:type="dxa"/>
              <w:right w:w="115" w:type="dxa"/>
            </w:tcMar>
            <w:vAlign w:val="bottom"/>
          </w:tcPr>
          <w:p w14:paraId="7C711C76" w14:textId="77777777" w:rsidR="004540AE" w:rsidRPr="00976C73" w:rsidRDefault="004540AE" w:rsidP="00342BAA">
            <w:pPr>
              <w:rPr>
                <w:rFonts w:ascii="Garamond" w:hAnsi="Garamond"/>
              </w:rPr>
            </w:pPr>
          </w:p>
        </w:tc>
        <w:tc>
          <w:tcPr>
            <w:tcW w:w="0" w:type="auto"/>
            <w:tcBorders>
              <w:top w:val="single" w:sz="4" w:space="0" w:color="auto"/>
            </w:tcBorders>
            <w:vAlign w:val="bottom"/>
          </w:tcPr>
          <w:p w14:paraId="1A5DDF75" w14:textId="77777777" w:rsidR="004540AE" w:rsidRPr="00976C73" w:rsidRDefault="004540AE" w:rsidP="00342BAA">
            <w:pPr>
              <w:jc w:val="right"/>
              <w:rPr>
                <w:rFonts w:ascii="Garamond" w:hAnsi="Garamond"/>
              </w:rPr>
            </w:pPr>
            <w:r w:rsidRPr="00976C73">
              <w:rPr>
                <w:rFonts w:ascii="Garamond" w:hAnsi="Garamond" w:cs="Arial"/>
              </w:rPr>
              <w:t>-0.25</w:t>
            </w:r>
          </w:p>
        </w:tc>
        <w:tc>
          <w:tcPr>
            <w:tcW w:w="0" w:type="auto"/>
            <w:tcBorders>
              <w:top w:val="single" w:sz="4" w:space="0" w:color="auto"/>
            </w:tcBorders>
            <w:vAlign w:val="bottom"/>
          </w:tcPr>
          <w:p w14:paraId="1E523BAF" w14:textId="77777777" w:rsidR="004540AE" w:rsidRPr="00976C73" w:rsidRDefault="004540AE" w:rsidP="00342BAA">
            <w:pPr>
              <w:jc w:val="right"/>
              <w:rPr>
                <w:rFonts w:ascii="Garamond" w:hAnsi="Garamond"/>
              </w:rPr>
            </w:pPr>
            <w:r w:rsidRPr="00976C73">
              <w:rPr>
                <w:rFonts w:ascii="Garamond" w:hAnsi="Garamond" w:cs="Arial"/>
              </w:rPr>
              <w:t>0.08</w:t>
            </w:r>
          </w:p>
        </w:tc>
        <w:tc>
          <w:tcPr>
            <w:tcW w:w="0" w:type="auto"/>
            <w:tcBorders>
              <w:top w:val="single" w:sz="4" w:space="0" w:color="auto"/>
            </w:tcBorders>
            <w:tcMar>
              <w:left w:w="0" w:type="dxa"/>
              <w:right w:w="115" w:type="dxa"/>
            </w:tcMar>
            <w:vAlign w:val="bottom"/>
          </w:tcPr>
          <w:p w14:paraId="53C87A8B" w14:textId="77777777" w:rsidR="004540AE" w:rsidRPr="00976C73" w:rsidRDefault="004540AE" w:rsidP="00342BAA">
            <w:pPr>
              <w:rPr>
                <w:rFonts w:ascii="Garamond" w:hAnsi="Garamond"/>
              </w:rPr>
            </w:pPr>
            <w:r w:rsidRPr="00976C73">
              <w:rPr>
                <w:rFonts w:ascii="Garamond" w:hAnsi="Garamond" w:cs="Arial"/>
              </w:rPr>
              <w:t>**</w:t>
            </w:r>
          </w:p>
        </w:tc>
        <w:tc>
          <w:tcPr>
            <w:tcW w:w="0" w:type="auto"/>
            <w:tcBorders>
              <w:top w:val="single" w:sz="4" w:space="0" w:color="auto"/>
            </w:tcBorders>
            <w:vAlign w:val="bottom"/>
          </w:tcPr>
          <w:p w14:paraId="4D121BC2" w14:textId="77777777" w:rsidR="004540AE" w:rsidRPr="00976C73" w:rsidRDefault="004540AE" w:rsidP="00342BAA">
            <w:pPr>
              <w:jc w:val="right"/>
              <w:rPr>
                <w:rFonts w:ascii="Garamond" w:hAnsi="Garamond"/>
              </w:rPr>
            </w:pPr>
            <w:r w:rsidRPr="00976C73">
              <w:rPr>
                <w:rFonts w:ascii="Garamond" w:hAnsi="Garamond" w:cs="Arial"/>
              </w:rPr>
              <w:t>0.29</w:t>
            </w:r>
          </w:p>
        </w:tc>
        <w:tc>
          <w:tcPr>
            <w:tcW w:w="0" w:type="auto"/>
            <w:tcBorders>
              <w:top w:val="single" w:sz="4" w:space="0" w:color="auto"/>
            </w:tcBorders>
            <w:vAlign w:val="bottom"/>
          </w:tcPr>
          <w:p w14:paraId="4ABFC595" w14:textId="77777777" w:rsidR="004540AE" w:rsidRPr="00976C73" w:rsidRDefault="004540AE" w:rsidP="00342BAA">
            <w:pPr>
              <w:jc w:val="right"/>
              <w:rPr>
                <w:rFonts w:ascii="Garamond" w:hAnsi="Garamond"/>
              </w:rPr>
            </w:pPr>
            <w:r w:rsidRPr="00976C73">
              <w:rPr>
                <w:rFonts w:ascii="Garamond" w:hAnsi="Garamond" w:cs="Arial"/>
              </w:rPr>
              <w:t>0.07</w:t>
            </w:r>
          </w:p>
        </w:tc>
        <w:tc>
          <w:tcPr>
            <w:tcW w:w="0" w:type="auto"/>
            <w:tcBorders>
              <w:top w:val="single" w:sz="4" w:space="0" w:color="auto"/>
            </w:tcBorders>
            <w:tcMar>
              <w:left w:w="0" w:type="dxa"/>
              <w:right w:w="115" w:type="dxa"/>
            </w:tcMar>
            <w:vAlign w:val="bottom"/>
          </w:tcPr>
          <w:p w14:paraId="3A0BB261" w14:textId="77777777" w:rsidR="004540AE" w:rsidRPr="00976C73" w:rsidRDefault="004540AE" w:rsidP="00342BAA">
            <w:pPr>
              <w:rPr>
                <w:rFonts w:ascii="Garamond" w:hAnsi="Garamond"/>
              </w:rPr>
            </w:pPr>
            <w:r w:rsidRPr="00976C73">
              <w:rPr>
                <w:rFonts w:ascii="Garamond" w:hAnsi="Garamond" w:cs="Arial"/>
              </w:rPr>
              <w:t>***</w:t>
            </w:r>
          </w:p>
        </w:tc>
        <w:tc>
          <w:tcPr>
            <w:tcW w:w="0" w:type="auto"/>
            <w:tcBorders>
              <w:top w:val="single" w:sz="4" w:space="0" w:color="auto"/>
            </w:tcBorders>
            <w:vAlign w:val="bottom"/>
          </w:tcPr>
          <w:p w14:paraId="6DC7177D" w14:textId="77777777" w:rsidR="004540AE" w:rsidRPr="00976C73" w:rsidRDefault="004540AE" w:rsidP="00342BAA">
            <w:pPr>
              <w:jc w:val="right"/>
              <w:rPr>
                <w:rFonts w:ascii="Garamond" w:hAnsi="Garamond"/>
              </w:rPr>
            </w:pPr>
            <w:r w:rsidRPr="00976C73">
              <w:rPr>
                <w:rFonts w:ascii="Garamond" w:hAnsi="Garamond" w:cs="Arial"/>
              </w:rPr>
              <w:t>-0.65</w:t>
            </w:r>
          </w:p>
        </w:tc>
        <w:tc>
          <w:tcPr>
            <w:tcW w:w="0" w:type="auto"/>
            <w:tcBorders>
              <w:top w:val="single" w:sz="4" w:space="0" w:color="auto"/>
            </w:tcBorders>
            <w:vAlign w:val="bottom"/>
          </w:tcPr>
          <w:p w14:paraId="09DD17F7" w14:textId="77777777" w:rsidR="004540AE" w:rsidRPr="00976C73" w:rsidRDefault="004540AE" w:rsidP="00342BAA">
            <w:pPr>
              <w:jc w:val="right"/>
              <w:rPr>
                <w:rFonts w:ascii="Garamond" w:hAnsi="Garamond"/>
              </w:rPr>
            </w:pPr>
            <w:r w:rsidRPr="00976C73">
              <w:rPr>
                <w:rFonts w:ascii="Garamond" w:hAnsi="Garamond" w:cs="Arial"/>
              </w:rPr>
              <w:t>0.22</w:t>
            </w:r>
          </w:p>
        </w:tc>
        <w:tc>
          <w:tcPr>
            <w:tcW w:w="0" w:type="auto"/>
            <w:tcBorders>
              <w:top w:val="single" w:sz="4" w:space="0" w:color="auto"/>
            </w:tcBorders>
            <w:tcMar>
              <w:left w:w="0" w:type="dxa"/>
              <w:right w:w="115" w:type="dxa"/>
            </w:tcMar>
            <w:vAlign w:val="bottom"/>
          </w:tcPr>
          <w:p w14:paraId="01ED1475" w14:textId="77777777" w:rsidR="004540AE" w:rsidRPr="00976C73" w:rsidRDefault="004540AE" w:rsidP="00342BAA">
            <w:pPr>
              <w:rPr>
                <w:rFonts w:ascii="Garamond" w:hAnsi="Garamond"/>
              </w:rPr>
            </w:pPr>
            <w:r w:rsidRPr="00976C73">
              <w:rPr>
                <w:rFonts w:ascii="Garamond" w:hAnsi="Garamond" w:cs="Arial"/>
              </w:rPr>
              <w:t>**</w:t>
            </w:r>
          </w:p>
        </w:tc>
        <w:tc>
          <w:tcPr>
            <w:tcW w:w="0" w:type="auto"/>
            <w:tcBorders>
              <w:top w:val="single" w:sz="4" w:space="0" w:color="auto"/>
            </w:tcBorders>
            <w:vAlign w:val="bottom"/>
          </w:tcPr>
          <w:p w14:paraId="7F36890B" w14:textId="77777777" w:rsidR="004540AE" w:rsidRPr="00976C73" w:rsidRDefault="004540AE" w:rsidP="00342BAA">
            <w:pPr>
              <w:jc w:val="right"/>
              <w:rPr>
                <w:rFonts w:ascii="Garamond" w:hAnsi="Garamond"/>
              </w:rPr>
            </w:pPr>
            <w:r w:rsidRPr="00976C73">
              <w:rPr>
                <w:rFonts w:ascii="Garamond" w:hAnsi="Garamond" w:cs="Arial"/>
              </w:rPr>
              <w:t>0.63</w:t>
            </w:r>
          </w:p>
        </w:tc>
        <w:tc>
          <w:tcPr>
            <w:tcW w:w="0" w:type="auto"/>
            <w:tcBorders>
              <w:top w:val="single" w:sz="4" w:space="0" w:color="auto"/>
            </w:tcBorders>
            <w:vAlign w:val="bottom"/>
          </w:tcPr>
          <w:p w14:paraId="6A346235" w14:textId="77777777" w:rsidR="004540AE" w:rsidRPr="00976C73" w:rsidRDefault="004540AE" w:rsidP="00342BAA">
            <w:pPr>
              <w:jc w:val="right"/>
              <w:rPr>
                <w:rFonts w:ascii="Garamond" w:hAnsi="Garamond"/>
              </w:rPr>
            </w:pPr>
            <w:r w:rsidRPr="00976C73">
              <w:rPr>
                <w:rFonts w:ascii="Garamond" w:hAnsi="Garamond" w:cs="Arial"/>
              </w:rPr>
              <w:t>0.11</w:t>
            </w:r>
          </w:p>
        </w:tc>
        <w:tc>
          <w:tcPr>
            <w:tcW w:w="0" w:type="auto"/>
            <w:tcBorders>
              <w:top w:val="single" w:sz="4" w:space="0" w:color="auto"/>
            </w:tcBorders>
            <w:tcMar>
              <w:left w:w="0" w:type="dxa"/>
              <w:right w:w="115" w:type="dxa"/>
            </w:tcMar>
            <w:vAlign w:val="bottom"/>
          </w:tcPr>
          <w:p w14:paraId="76A87BB8" w14:textId="77777777" w:rsidR="004540AE" w:rsidRPr="00976C73" w:rsidRDefault="004540AE" w:rsidP="00342BAA">
            <w:pPr>
              <w:rPr>
                <w:rFonts w:ascii="Garamond" w:hAnsi="Garamond"/>
              </w:rPr>
            </w:pPr>
            <w:r w:rsidRPr="00976C73">
              <w:rPr>
                <w:rFonts w:ascii="Garamond" w:hAnsi="Garamond" w:cs="Arial"/>
              </w:rPr>
              <w:t>***</w:t>
            </w:r>
          </w:p>
        </w:tc>
      </w:tr>
      <w:tr w:rsidR="004540AE" w:rsidRPr="0083043E" w14:paraId="4138B554" w14:textId="77777777" w:rsidTr="00342BAA">
        <w:trPr>
          <w:trHeight w:val="177"/>
        </w:trPr>
        <w:tc>
          <w:tcPr>
            <w:tcW w:w="0" w:type="auto"/>
          </w:tcPr>
          <w:p w14:paraId="4EA78FB3" w14:textId="77777777" w:rsidR="004540AE" w:rsidRPr="0029435F" w:rsidRDefault="004540AE" w:rsidP="00342BAA">
            <w:pPr>
              <w:jc w:val="right"/>
              <w:rPr>
                <w:rFonts w:ascii="Garamond" w:hAnsi="Garamond"/>
              </w:rPr>
            </w:pPr>
            <w:r w:rsidRPr="0029435F">
              <w:rPr>
                <w:rFonts w:ascii="Garamond" w:hAnsi="Garamond"/>
              </w:rPr>
              <w:t>Slope</w:t>
            </w:r>
          </w:p>
        </w:tc>
        <w:tc>
          <w:tcPr>
            <w:tcW w:w="0" w:type="auto"/>
            <w:vAlign w:val="bottom"/>
          </w:tcPr>
          <w:p w14:paraId="0D40924F" w14:textId="77777777" w:rsidR="004540AE" w:rsidRPr="00976C73" w:rsidRDefault="004540AE" w:rsidP="00342BAA">
            <w:pPr>
              <w:jc w:val="right"/>
              <w:rPr>
                <w:rFonts w:ascii="Garamond" w:hAnsi="Garamond"/>
              </w:rPr>
            </w:pPr>
            <w:r w:rsidRPr="00976C73">
              <w:rPr>
                <w:rFonts w:ascii="Garamond" w:hAnsi="Garamond" w:cs="Arial"/>
              </w:rPr>
              <w:t>1.36</w:t>
            </w:r>
          </w:p>
        </w:tc>
        <w:tc>
          <w:tcPr>
            <w:tcW w:w="0" w:type="auto"/>
            <w:vAlign w:val="bottom"/>
          </w:tcPr>
          <w:p w14:paraId="013990BB" w14:textId="77777777" w:rsidR="004540AE" w:rsidRPr="00976C73" w:rsidRDefault="004540AE" w:rsidP="00342BAA">
            <w:pPr>
              <w:jc w:val="right"/>
              <w:rPr>
                <w:rFonts w:ascii="Garamond" w:hAnsi="Garamond"/>
              </w:rPr>
            </w:pPr>
            <w:r w:rsidRPr="00976C73">
              <w:rPr>
                <w:rFonts w:ascii="Garamond" w:hAnsi="Garamond" w:cs="Arial"/>
              </w:rPr>
              <w:t>0.3</w:t>
            </w:r>
          </w:p>
        </w:tc>
        <w:tc>
          <w:tcPr>
            <w:tcW w:w="0" w:type="auto"/>
            <w:tcMar>
              <w:left w:w="0" w:type="dxa"/>
              <w:right w:w="115" w:type="dxa"/>
            </w:tcMar>
            <w:vAlign w:val="bottom"/>
          </w:tcPr>
          <w:p w14:paraId="187219F9" w14:textId="77777777" w:rsidR="004540AE" w:rsidRPr="00976C73" w:rsidRDefault="004540AE" w:rsidP="00342BAA">
            <w:pPr>
              <w:rPr>
                <w:rFonts w:ascii="Garamond" w:hAnsi="Garamond"/>
              </w:rPr>
            </w:pPr>
            <w:r w:rsidRPr="00976C73">
              <w:rPr>
                <w:rFonts w:ascii="Garamond" w:hAnsi="Garamond" w:cs="Arial"/>
              </w:rPr>
              <w:t>***</w:t>
            </w:r>
          </w:p>
        </w:tc>
        <w:tc>
          <w:tcPr>
            <w:tcW w:w="0" w:type="auto"/>
            <w:vAlign w:val="bottom"/>
          </w:tcPr>
          <w:p w14:paraId="6C5B163C" w14:textId="77777777" w:rsidR="004540AE" w:rsidRPr="00976C73" w:rsidRDefault="004540AE" w:rsidP="00342BAA">
            <w:pPr>
              <w:jc w:val="right"/>
              <w:rPr>
                <w:rFonts w:ascii="Garamond" w:hAnsi="Garamond"/>
              </w:rPr>
            </w:pPr>
            <w:r w:rsidRPr="00976C73">
              <w:rPr>
                <w:rFonts w:ascii="Garamond" w:hAnsi="Garamond" w:cs="Arial"/>
              </w:rPr>
              <w:t>1.59</w:t>
            </w:r>
          </w:p>
        </w:tc>
        <w:tc>
          <w:tcPr>
            <w:tcW w:w="0" w:type="auto"/>
            <w:vAlign w:val="bottom"/>
          </w:tcPr>
          <w:p w14:paraId="7D70EAA6" w14:textId="77777777" w:rsidR="004540AE" w:rsidRPr="00976C73" w:rsidRDefault="004540AE" w:rsidP="00342BAA">
            <w:pPr>
              <w:jc w:val="right"/>
              <w:rPr>
                <w:rFonts w:ascii="Garamond" w:hAnsi="Garamond"/>
              </w:rPr>
            </w:pPr>
            <w:r w:rsidRPr="00976C73">
              <w:rPr>
                <w:rFonts w:ascii="Garamond" w:hAnsi="Garamond" w:cs="Arial"/>
              </w:rPr>
              <w:t>0.31</w:t>
            </w:r>
          </w:p>
        </w:tc>
        <w:tc>
          <w:tcPr>
            <w:tcW w:w="0" w:type="auto"/>
            <w:tcMar>
              <w:left w:w="0" w:type="dxa"/>
              <w:right w:w="115" w:type="dxa"/>
            </w:tcMar>
            <w:vAlign w:val="bottom"/>
          </w:tcPr>
          <w:p w14:paraId="6FE6EBA5" w14:textId="77777777" w:rsidR="004540AE" w:rsidRPr="00976C73" w:rsidRDefault="004540AE" w:rsidP="00342BAA">
            <w:pPr>
              <w:rPr>
                <w:rFonts w:ascii="Garamond" w:hAnsi="Garamond"/>
              </w:rPr>
            </w:pPr>
            <w:r w:rsidRPr="00976C73">
              <w:rPr>
                <w:rFonts w:ascii="Garamond" w:hAnsi="Garamond" w:cs="Arial"/>
              </w:rPr>
              <w:t>***</w:t>
            </w:r>
          </w:p>
        </w:tc>
        <w:tc>
          <w:tcPr>
            <w:tcW w:w="0" w:type="auto"/>
            <w:vAlign w:val="bottom"/>
          </w:tcPr>
          <w:p w14:paraId="08EB1733" w14:textId="77777777" w:rsidR="004540AE" w:rsidRPr="00647591" w:rsidRDefault="004540AE" w:rsidP="00342BAA">
            <w:pPr>
              <w:jc w:val="right"/>
              <w:rPr>
                <w:rFonts w:ascii="Garamond" w:eastAsiaTheme="minorEastAsia" w:hAnsi="Garamond"/>
                <w:lang w:eastAsia="ko-KR"/>
              </w:rPr>
            </w:pPr>
            <w:r w:rsidRPr="00976C73">
              <w:rPr>
                <w:rFonts w:ascii="Garamond" w:hAnsi="Garamond" w:cs="Arial"/>
              </w:rPr>
              <w:t>0.9</w:t>
            </w:r>
            <w:r>
              <w:rPr>
                <w:rFonts w:ascii="Garamond" w:eastAsiaTheme="minorEastAsia" w:hAnsi="Garamond" w:cs="Arial" w:hint="eastAsia"/>
                <w:lang w:eastAsia="ko-KR"/>
              </w:rPr>
              <w:t>0</w:t>
            </w:r>
          </w:p>
        </w:tc>
        <w:tc>
          <w:tcPr>
            <w:tcW w:w="0" w:type="auto"/>
            <w:vAlign w:val="bottom"/>
          </w:tcPr>
          <w:p w14:paraId="3DE5B58D" w14:textId="77777777" w:rsidR="004540AE" w:rsidRPr="00976C73" w:rsidRDefault="004540AE" w:rsidP="00342BAA">
            <w:pPr>
              <w:jc w:val="right"/>
              <w:rPr>
                <w:rFonts w:ascii="Garamond" w:hAnsi="Garamond"/>
              </w:rPr>
            </w:pPr>
            <w:r w:rsidRPr="00976C73">
              <w:rPr>
                <w:rFonts w:ascii="Garamond" w:hAnsi="Garamond" w:cs="Arial"/>
              </w:rPr>
              <w:t>0.19</w:t>
            </w:r>
          </w:p>
        </w:tc>
        <w:tc>
          <w:tcPr>
            <w:tcW w:w="0" w:type="auto"/>
            <w:tcMar>
              <w:left w:w="0" w:type="dxa"/>
              <w:right w:w="115" w:type="dxa"/>
            </w:tcMar>
            <w:vAlign w:val="bottom"/>
          </w:tcPr>
          <w:p w14:paraId="3072BAA4" w14:textId="77777777" w:rsidR="004540AE" w:rsidRPr="00976C73" w:rsidRDefault="004540AE" w:rsidP="00342BAA">
            <w:pPr>
              <w:rPr>
                <w:rFonts w:ascii="Garamond" w:hAnsi="Garamond"/>
              </w:rPr>
            </w:pPr>
            <w:r w:rsidRPr="00976C73">
              <w:rPr>
                <w:rFonts w:ascii="Garamond" w:hAnsi="Garamond" w:cs="Arial"/>
              </w:rPr>
              <w:t>***</w:t>
            </w:r>
          </w:p>
        </w:tc>
        <w:tc>
          <w:tcPr>
            <w:tcW w:w="0" w:type="auto"/>
            <w:vAlign w:val="bottom"/>
          </w:tcPr>
          <w:p w14:paraId="3C6EE5F1" w14:textId="77777777" w:rsidR="004540AE" w:rsidRPr="00976C73" w:rsidRDefault="004540AE" w:rsidP="00342BAA">
            <w:pPr>
              <w:jc w:val="right"/>
              <w:rPr>
                <w:rFonts w:ascii="Garamond" w:hAnsi="Garamond"/>
              </w:rPr>
            </w:pPr>
            <w:r w:rsidRPr="00976C73">
              <w:rPr>
                <w:rFonts w:ascii="Garamond" w:hAnsi="Garamond" w:cs="Arial"/>
              </w:rPr>
              <w:t>1.95</w:t>
            </w:r>
          </w:p>
        </w:tc>
        <w:tc>
          <w:tcPr>
            <w:tcW w:w="0" w:type="auto"/>
            <w:vAlign w:val="bottom"/>
          </w:tcPr>
          <w:p w14:paraId="05782985" w14:textId="77777777" w:rsidR="004540AE" w:rsidRPr="00647591" w:rsidRDefault="004540AE" w:rsidP="00342BAA">
            <w:pPr>
              <w:jc w:val="right"/>
              <w:rPr>
                <w:rFonts w:ascii="Garamond" w:eastAsiaTheme="minorEastAsia" w:hAnsi="Garamond"/>
                <w:lang w:eastAsia="ko-KR"/>
              </w:rPr>
            </w:pPr>
            <w:r w:rsidRPr="00976C73">
              <w:rPr>
                <w:rFonts w:ascii="Garamond" w:hAnsi="Garamond" w:cs="Arial"/>
              </w:rPr>
              <w:t>0.5</w:t>
            </w:r>
            <w:r>
              <w:rPr>
                <w:rFonts w:ascii="Garamond" w:eastAsiaTheme="minorEastAsia" w:hAnsi="Garamond" w:cs="Arial" w:hint="eastAsia"/>
                <w:lang w:eastAsia="ko-KR"/>
              </w:rPr>
              <w:t>0</w:t>
            </w:r>
          </w:p>
        </w:tc>
        <w:tc>
          <w:tcPr>
            <w:tcW w:w="0" w:type="auto"/>
            <w:tcMar>
              <w:left w:w="0" w:type="dxa"/>
              <w:right w:w="115" w:type="dxa"/>
            </w:tcMar>
            <w:vAlign w:val="bottom"/>
          </w:tcPr>
          <w:p w14:paraId="6DDD740F" w14:textId="77777777" w:rsidR="004540AE" w:rsidRPr="00976C73" w:rsidRDefault="004540AE" w:rsidP="00342BAA">
            <w:pPr>
              <w:rPr>
                <w:rFonts w:ascii="Garamond" w:hAnsi="Garamond"/>
              </w:rPr>
            </w:pPr>
            <w:r w:rsidRPr="00976C73">
              <w:rPr>
                <w:rFonts w:ascii="Garamond" w:hAnsi="Garamond" w:cs="Arial"/>
              </w:rPr>
              <w:t>***</w:t>
            </w:r>
          </w:p>
        </w:tc>
        <w:tc>
          <w:tcPr>
            <w:tcW w:w="0" w:type="auto"/>
            <w:vAlign w:val="bottom"/>
          </w:tcPr>
          <w:p w14:paraId="63BA4BBF" w14:textId="77777777" w:rsidR="004540AE" w:rsidRPr="00976C73" w:rsidRDefault="004540AE" w:rsidP="00342BAA">
            <w:pPr>
              <w:jc w:val="right"/>
              <w:rPr>
                <w:rFonts w:ascii="Garamond" w:hAnsi="Garamond"/>
              </w:rPr>
            </w:pPr>
            <w:r w:rsidRPr="00976C73">
              <w:rPr>
                <w:rFonts w:ascii="Garamond" w:hAnsi="Garamond" w:cs="Arial"/>
              </w:rPr>
              <w:t>0.22</w:t>
            </w:r>
          </w:p>
        </w:tc>
        <w:tc>
          <w:tcPr>
            <w:tcW w:w="0" w:type="auto"/>
            <w:vAlign w:val="bottom"/>
          </w:tcPr>
          <w:p w14:paraId="7CF8D897" w14:textId="77777777" w:rsidR="004540AE" w:rsidRPr="00976C73" w:rsidRDefault="004540AE" w:rsidP="00342BAA">
            <w:pPr>
              <w:jc w:val="right"/>
              <w:rPr>
                <w:rFonts w:ascii="Garamond" w:hAnsi="Garamond"/>
              </w:rPr>
            </w:pPr>
            <w:r w:rsidRPr="00976C73">
              <w:rPr>
                <w:rFonts w:ascii="Garamond" w:hAnsi="Garamond" w:cs="Arial"/>
              </w:rPr>
              <w:t>0.22</w:t>
            </w:r>
          </w:p>
        </w:tc>
        <w:tc>
          <w:tcPr>
            <w:tcW w:w="0" w:type="auto"/>
            <w:tcMar>
              <w:left w:w="0" w:type="dxa"/>
              <w:right w:w="115" w:type="dxa"/>
            </w:tcMar>
            <w:vAlign w:val="bottom"/>
          </w:tcPr>
          <w:p w14:paraId="719A22DF" w14:textId="77777777" w:rsidR="004540AE" w:rsidRPr="00976C73" w:rsidRDefault="004540AE" w:rsidP="00342BAA">
            <w:pPr>
              <w:rPr>
                <w:rFonts w:ascii="Garamond" w:hAnsi="Garamond"/>
              </w:rPr>
            </w:pPr>
          </w:p>
        </w:tc>
      </w:tr>
      <w:tr w:rsidR="004540AE" w:rsidRPr="00976C73" w14:paraId="7DBC5566" w14:textId="77777777" w:rsidTr="00342BAA">
        <w:trPr>
          <w:trHeight w:val="177"/>
        </w:trPr>
        <w:tc>
          <w:tcPr>
            <w:tcW w:w="0" w:type="auto"/>
          </w:tcPr>
          <w:p w14:paraId="37913C25" w14:textId="77777777" w:rsidR="004540AE" w:rsidRPr="0029435F" w:rsidRDefault="004540AE" w:rsidP="00342BAA">
            <w:pPr>
              <w:jc w:val="right"/>
              <w:rPr>
                <w:rFonts w:ascii="Garamond" w:hAnsi="Garamond"/>
              </w:rPr>
            </w:pPr>
          </w:p>
        </w:tc>
        <w:tc>
          <w:tcPr>
            <w:tcW w:w="0" w:type="auto"/>
          </w:tcPr>
          <w:p w14:paraId="59BD2F1B" w14:textId="77777777" w:rsidR="004540AE" w:rsidRPr="0029435F" w:rsidRDefault="004540AE" w:rsidP="00342BAA">
            <w:pPr>
              <w:jc w:val="right"/>
              <w:rPr>
                <w:rFonts w:ascii="Garamond" w:hAnsi="Garamond"/>
              </w:rPr>
            </w:pPr>
          </w:p>
        </w:tc>
        <w:tc>
          <w:tcPr>
            <w:tcW w:w="0" w:type="auto"/>
          </w:tcPr>
          <w:p w14:paraId="49C50C94" w14:textId="77777777" w:rsidR="004540AE" w:rsidRPr="0029435F" w:rsidRDefault="004540AE" w:rsidP="00342BAA">
            <w:pPr>
              <w:jc w:val="right"/>
              <w:rPr>
                <w:rFonts w:ascii="Garamond" w:hAnsi="Garamond"/>
              </w:rPr>
            </w:pPr>
          </w:p>
        </w:tc>
        <w:tc>
          <w:tcPr>
            <w:tcW w:w="0" w:type="auto"/>
            <w:tcMar>
              <w:left w:w="0" w:type="dxa"/>
              <w:right w:w="115" w:type="dxa"/>
            </w:tcMar>
          </w:tcPr>
          <w:p w14:paraId="27806794" w14:textId="77777777" w:rsidR="004540AE" w:rsidRPr="0029435F" w:rsidRDefault="004540AE" w:rsidP="00342BAA">
            <w:pPr>
              <w:rPr>
                <w:rFonts w:ascii="Garamond" w:hAnsi="Garamond"/>
              </w:rPr>
            </w:pPr>
          </w:p>
        </w:tc>
        <w:tc>
          <w:tcPr>
            <w:tcW w:w="0" w:type="auto"/>
          </w:tcPr>
          <w:p w14:paraId="04125C21" w14:textId="77777777" w:rsidR="004540AE" w:rsidRPr="0029435F" w:rsidRDefault="004540AE" w:rsidP="00342BAA">
            <w:pPr>
              <w:jc w:val="right"/>
              <w:rPr>
                <w:rFonts w:ascii="Garamond" w:hAnsi="Garamond"/>
              </w:rPr>
            </w:pPr>
          </w:p>
        </w:tc>
        <w:tc>
          <w:tcPr>
            <w:tcW w:w="0" w:type="auto"/>
          </w:tcPr>
          <w:p w14:paraId="4F651CC7" w14:textId="77777777" w:rsidR="004540AE" w:rsidRPr="0029435F" w:rsidRDefault="004540AE" w:rsidP="00342BAA">
            <w:pPr>
              <w:jc w:val="right"/>
              <w:rPr>
                <w:rFonts w:ascii="Garamond" w:hAnsi="Garamond"/>
              </w:rPr>
            </w:pPr>
          </w:p>
        </w:tc>
        <w:tc>
          <w:tcPr>
            <w:tcW w:w="0" w:type="auto"/>
            <w:tcMar>
              <w:left w:w="0" w:type="dxa"/>
              <w:right w:w="115" w:type="dxa"/>
            </w:tcMar>
          </w:tcPr>
          <w:p w14:paraId="750DE05F" w14:textId="77777777" w:rsidR="004540AE" w:rsidRPr="0029435F" w:rsidRDefault="004540AE" w:rsidP="00342BAA">
            <w:pPr>
              <w:rPr>
                <w:rFonts w:ascii="Garamond" w:hAnsi="Garamond"/>
              </w:rPr>
            </w:pPr>
          </w:p>
        </w:tc>
        <w:tc>
          <w:tcPr>
            <w:tcW w:w="0" w:type="auto"/>
          </w:tcPr>
          <w:p w14:paraId="306593CD" w14:textId="77777777" w:rsidR="004540AE" w:rsidRPr="0029435F" w:rsidRDefault="004540AE" w:rsidP="00342BAA">
            <w:pPr>
              <w:jc w:val="right"/>
              <w:rPr>
                <w:rFonts w:ascii="Garamond" w:hAnsi="Garamond"/>
              </w:rPr>
            </w:pPr>
          </w:p>
        </w:tc>
        <w:tc>
          <w:tcPr>
            <w:tcW w:w="0" w:type="auto"/>
          </w:tcPr>
          <w:p w14:paraId="43E3D98B" w14:textId="77777777" w:rsidR="004540AE" w:rsidRPr="0029435F" w:rsidRDefault="004540AE" w:rsidP="00342BAA">
            <w:pPr>
              <w:jc w:val="right"/>
              <w:rPr>
                <w:rFonts w:ascii="Garamond" w:hAnsi="Garamond"/>
              </w:rPr>
            </w:pPr>
          </w:p>
        </w:tc>
        <w:tc>
          <w:tcPr>
            <w:tcW w:w="0" w:type="auto"/>
            <w:tcMar>
              <w:left w:w="0" w:type="dxa"/>
              <w:right w:w="115" w:type="dxa"/>
            </w:tcMar>
          </w:tcPr>
          <w:p w14:paraId="171D7A92" w14:textId="77777777" w:rsidR="004540AE" w:rsidRPr="0029435F" w:rsidRDefault="004540AE" w:rsidP="00342BAA">
            <w:pPr>
              <w:rPr>
                <w:rFonts w:ascii="Garamond" w:hAnsi="Garamond"/>
              </w:rPr>
            </w:pPr>
          </w:p>
        </w:tc>
        <w:tc>
          <w:tcPr>
            <w:tcW w:w="0" w:type="auto"/>
          </w:tcPr>
          <w:p w14:paraId="60F3FB0B" w14:textId="77777777" w:rsidR="004540AE" w:rsidRPr="0029435F" w:rsidRDefault="004540AE" w:rsidP="00342BAA">
            <w:pPr>
              <w:jc w:val="right"/>
              <w:rPr>
                <w:rFonts w:ascii="Garamond" w:hAnsi="Garamond"/>
              </w:rPr>
            </w:pPr>
          </w:p>
        </w:tc>
        <w:tc>
          <w:tcPr>
            <w:tcW w:w="0" w:type="auto"/>
          </w:tcPr>
          <w:p w14:paraId="0AF2C431" w14:textId="77777777" w:rsidR="004540AE" w:rsidRPr="0029435F" w:rsidRDefault="004540AE" w:rsidP="00342BAA">
            <w:pPr>
              <w:jc w:val="right"/>
              <w:rPr>
                <w:rFonts w:ascii="Garamond" w:hAnsi="Garamond"/>
              </w:rPr>
            </w:pPr>
          </w:p>
        </w:tc>
        <w:tc>
          <w:tcPr>
            <w:tcW w:w="0" w:type="auto"/>
            <w:tcMar>
              <w:left w:w="0" w:type="dxa"/>
              <w:right w:w="115" w:type="dxa"/>
            </w:tcMar>
          </w:tcPr>
          <w:p w14:paraId="1E5D548F" w14:textId="77777777" w:rsidR="004540AE" w:rsidRPr="0029435F" w:rsidRDefault="004540AE" w:rsidP="00342BAA">
            <w:pPr>
              <w:rPr>
                <w:rFonts w:ascii="Garamond" w:hAnsi="Garamond"/>
              </w:rPr>
            </w:pPr>
          </w:p>
        </w:tc>
        <w:tc>
          <w:tcPr>
            <w:tcW w:w="0" w:type="auto"/>
          </w:tcPr>
          <w:p w14:paraId="7D81B3BC" w14:textId="77777777" w:rsidR="004540AE" w:rsidRPr="0029435F" w:rsidRDefault="004540AE" w:rsidP="00342BAA">
            <w:pPr>
              <w:rPr>
                <w:rFonts w:ascii="Garamond" w:hAnsi="Garamond"/>
              </w:rPr>
            </w:pPr>
          </w:p>
        </w:tc>
        <w:tc>
          <w:tcPr>
            <w:tcW w:w="0" w:type="auto"/>
          </w:tcPr>
          <w:p w14:paraId="73D91F91" w14:textId="77777777" w:rsidR="004540AE" w:rsidRPr="0029435F" w:rsidRDefault="004540AE" w:rsidP="00342BAA">
            <w:pPr>
              <w:rPr>
                <w:rFonts w:ascii="Garamond" w:hAnsi="Garamond"/>
              </w:rPr>
            </w:pPr>
          </w:p>
        </w:tc>
        <w:tc>
          <w:tcPr>
            <w:tcW w:w="0" w:type="auto"/>
            <w:tcMar>
              <w:left w:w="0" w:type="dxa"/>
              <w:right w:w="115" w:type="dxa"/>
            </w:tcMar>
          </w:tcPr>
          <w:p w14:paraId="6B9CE9A5" w14:textId="77777777" w:rsidR="004540AE" w:rsidRPr="0029435F" w:rsidRDefault="004540AE" w:rsidP="00342BAA">
            <w:pPr>
              <w:rPr>
                <w:rFonts w:ascii="Garamond" w:hAnsi="Garamond"/>
              </w:rPr>
            </w:pPr>
          </w:p>
        </w:tc>
      </w:tr>
      <w:tr w:rsidR="004540AE" w:rsidRPr="0083043E" w14:paraId="08BB675C" w14:textId="77777777" w:rsidTr="00342BAA">
        <w:tc>
          <w:tcPr>
            <w:tcW w:w="0" w:type="auto"/>
          </w:tcPr>
          <w:p w14:paraId="3D253100" w14:textId="77777777" w:rsidR="004540AE" w:rsidRPr="00976C73" w:rsidRDefault="004540AE" w:rsidP="00342BAA">
            <w:pPr>
              <w:jc w:val="right"/>
              <w:rPr>
                <w:rFonts w:ascii="Garamond" w:eastAsiaTheme="minorEastAsia" w:hAnsi="Garamond"/>
                <w:lang w:eastAsia="ko-KR"/>
              </w:rPr>
            </w:pPr>
            <w:r w:rsidRPr="0029435F">
              <w:rPr>
                <w:rFonts w:ascii="Garamond" w:hAnsi="Garamond"/>
              </w:rPr>
              <w:t>R</w:t>
            </w:r>
            <w:r w:rsidRPr="0029435F">
              <w:rPr>
                <w:rFonts w:ascii="Garamond" w:hAnsi="Garamond"/>
                <w:vertAlign w:val="superscript"/>
              </w:rPr>
              <w:t>2</w:t>
            </w:r>
          </w:p>
        </w:tc>
        <w:tc>
          <w:tcPr>
            <w:tcW w:w="0" w:type="auto"/>
            <w:gridSpan w:val="2"/>
            <w:vAlign w:val="bottom"/>
          </w:tcPr>
          <w:p w14:paraId="56D5AC15" w14:textId="77777777" w:rsidR="004540AE" w:rsidRPr="0029435F" w:rsidRDefault="004540AE" w:rsidP="00342BAA">
            <w:pPr>
              <w:jc w:val="center"/>
              <w:rPr>
                <w:rFonts w:ascii="Garamond" w:hAnsi="Garamond"/>
              </w:rPr>
            </w:pPr>
            <w:r w:rsidRPr="00976C73">
              <w:rPr>
                <w:rFonts w:ascii="Garamond" w:hAnsi="Garamond" w:cs="Arial"/>
              </w:rPr>
              <w:t>0.05</w:t>
            </w:r>
          </w:p>
        </w:tc>
        <w:tc>
          <w:tcPr>
            <w:tcW w:w="0" w:type="auto"/>
            <w:tcMar>
              <w:left w:w="0" w:type="dxa"/>
              <w:right w:w="115" w:type="dxa"/>
            </w:tcMar>
          </w:tcPr>
          <w:p w14:paraId="5E378EB9" w14:textId="77777777" w:rsidR="004540AE" w:rsidRPr="0029435F" w:rsidRDefault="004540AE" w:rsidP="00342BAA">
            <w:pPr>
              <w:rPr>
                <w:rFonts w:ascii="Garamond" w:hAnsi="Garamond"/>
              </w:rPr>
            </w:pPr>
          </w:p>
        </w:tc>
        <w:tc>
          <w:tcPr>
            <w:tcW w:w="0" w:type="auto"/>
            <w:gridSpan w:val="2"/>
            <w:vAlign w:val="bottom"/>
          </w:tcPr>
          <w:p w14:paraId="146B3B08" w14:textId="77777777" w:rsidR="004540AE" w:rsidRPr="0029435F" w:rsidRDefault="004540AE" w:rsidP="00342BAA">
            <w:pPr>
              <w:jc w:val="center"/>
              <w:rPr>
                <w:rFonts w:ascii="Garamond" w:hAnsi="Garamond"/>
              </w:rPr>
            </w:pPr>
            <w:r w:rsidRPr="00976C73">
              <w:rPr>
                <w:rFonts w:ascii="Garamond" w:hAnsi="Garamond" w:cs="Arial"/>
              </w:rPr>
              <w:t>0.07</w:t>
            </w:r>
          </w:p>
        </w:tc>
        <w:tc>
          <w:tcPr>
            <w:tcW w:w="0" w:type="auto"/>
            <w:tcMar>
              <w:left w:w="0" w:type="dxa"/>
              <w:right w:w="115" w:type="dxa"/>
            </w:tcMar>
          </w:tcPr>
          <w:p w14:paraId="70C463FE" w14:textId="77777777" w:rsidR="004540AE" w:rsidRPr="0029435F" w:rsidRDefault="004540AE" w:rsidP="00342BAA">
            <w:pPr>
              <w:rPr>
                <w:rFonts w:ascii="Garamond" w:hAnsi="Garamond"/>
              </w:rPr>
            </w:pPr>
          </w:p>
        </w:tc>
        <w:tc>
          <w:tcPr>
            <w:tcW w:w="0" w:type="auto"/>
            <w:gridSpan w:val="2"/>
            <w:vAlign w:val="bottom"/>
          </w:tcPr>
          <w:p w14:paraId="393CE90E" w14:textId="77777777" w:rsidR="004540AE" w:rsidRPr="0029435F" w:rsidRDefault="004540AE" w:rsidP="00342BAA">
            <w:pPr>
              <w:jc w:val="center"/>
              <w:rPr>
                <w:rFonts w:ascii="Garamond" w:hAnsi="Garamond"/>
              </w:rPr>
            </w:pPr>
            <w:r w:rsidRPr="00976C73">
              <w:rPr>
                <w:rFonts w:ascii="Garamond" w:hAnsi="Garamond" w:cs="Arial"/>
              </w:rPr>
              <w:t>0.03</w:t>
            </w:r>
          </w:p>
        </w:tc>
        <w:tc>
          <w:tcPr>
            <w:tcW w:w="0" w:type="auto"/>
            <w:tcMar>
              <w:left w:w="0" w:type="dxa"/>
              <w:right w:w="115" w:type="dxa"/>
            </w:tcMar>
          </w:tcPr>
          <w:p w14:paraId="70C59992" w14:textId="77777777" w:rsidR="004540AE" w:rsidRPr="0029435F" w:rsidRDefault="004540AE" w:rsidP="00342BAA">
            <w:pPr>
              <w:rPr>
                <w:rFonts w:ascii="Garamond" w:hAnsi="Garamond"/>
              </w:rPr>
            </w:pPr>
          </w:p>
        </w:tc>
        <w:tc>
          <w:tcPr>
            <w:tcW w:w="0" w:type="auto"/>
            <w:gridSpan w:val="2"/>
            <w:vAlign w:val="bottom"/>
          </w:tcPr>
          <w:p w14:paraId="67A16DEC" w14:textId="77777777" w:rsidR="004540AE" w:rsidRPr="0029435F" w:rsidRDefault="004540AE" w:rsidP="00342BAA">
            <w:pPr>
              <w:jc w:val="center"/>
              <w:rPr>
                <w:rFonts w:ascii="Garamond" w:hAnsi="Garamond"/>
              </w:rPr>
            </w:pPr>
            <w:r w:rsidRPr="00976C73">
              <w:rPr>
                <w:rFonts w:ascii="Garamond" w:hAnsi="Garamond" w:cs="Arial"/>
              </w:rPr>
              <w:t>0.06</w:t>
            </w:r>
          </w:p>
        </w:tc>
        <w:tc>
          <w:tcPr>
            <w:tcW w:w="0" w:type="auto"/>
            <w:tcMar>
              <w:left w:w="0" w:type="dxa"/>
              <w:right w:w="115" w:type="dxa"/>
            </w:tcMar>
          </w:tcPr>
          <w:p w14:paraId="3702E88D" w14:textId="77777777" w:rsidR="004540AE" w:rsidRPr="0029435F" w:rsidRDefault="004540AE" w:rsidP="00342BAA">
            <w:pPr>
              <w:rPr>
                <w:rFonts w:ascii="Garamond" w:hAnsi="Garamond"/>
              </w:rPr>
            </w:pPr>
          </w:p>
        </w:tc>
        <w:tc>
          <w:tcPr>
            <w:tcW w:w="0" w:type="auto"/>
            <w:gridSpan w:val="2"/>
            <w:vAlign w:val="bottom"/>
          </w:tcPr>
          <w:p w14:paraId="05A03FB2" w14:textId="77777777" w:rsidR="004540AE" w:rsidRPr="00647591" w:rsidRDefault="004540AE" w:rsidP="00342BAA">
            <w:pPr>
              <w:jc w:val="center"/>
              <w:rPr>
                <w:rFonts w:ascii="Garamond" w:eastAsiaTheme="minorEastAsia" w:hAnsi="Garamond"/>
                <w:lang w:eastAsia="ko-KR"/>
              </w:rPr>
            </w:pPr>
            <w:r w:rsidRPr="00976C73">
              <w:rPr>
                <w:rFonts w:ascii="Garamond" w:hAnsi="Garamond" w:cs="Arial"/>
              </w:rPr>
              <w:t>0</w:t>
            </w:r>
            <w:r>
              <w:rPr>
                <w:rFonts w:ascii="Garamond" w:eastAsiaTheme="minorEastAsia" w:hAnsi="Garamond" w:cs="Arial" w:hint="eastAsia"/>
                <w:lang w:eastAsia="ko-KR"/>
              </w:rPr>
              <w:t>.00</w:t>
            </w:r>
          </w:p>
        </w:tc>
        <w:tc>
          <w:tcPr>
            <w:tcW w:w="0" w:type="auto"/>
          </w:tcPr>
          <w:p w14:paraId="6FB8344D" w14:textId="77777777" w:rsidR="004540AE" w:rsidRPr="0029435F" w:rsidRDefault="004540AE" w:rsidP="00342BAA">
            <w:pPr>
              <w:jc w:val="center"/>
              <w:rPr>
                <w:rFonts w:ascii="Garamond" w:hAnsi="Garamond"/>
              </w:rPr>
            </w:pPr>
          </w:p>
        </w:tc>
      </w:tr>
      <w:tr w:rsidR="004540AE" w:rsidRPr="0083043E" w14:paraId="5033DD6B" w14:textId="77777777" w:rsidTr="00342BAA">
        <w:tc>
          <w:tcPr>
            <w:tcW w:w="0" w:type="auto"/>
          </w:tcPr>
          <w:p w14:paraId="1878F1CA" w14:textId="77777777" w:rsidR="004540AE" w:rsidRPr="0029435F" w:rsidRDefault="004540AE" w:rsidP="00342BAA">
            <w:pPr>
              <w:jc w:val="right"/>
              <w:rPr>
                <w:rFonts w:ascii="Garamond" w:hAnsi="Garamond"/>
              </w:rPr>
            </w:pPr>
            <w:r w:rsidRPr="0029435F">
              <w:rPr>
                <w:rFonts w:ascii="Garamond" w:hAnsi="Garamond"/>
              </w:rPr>
              <w:t>AIC</w:t>
            </w:r>
          </w:p>
        </w:tc>
        <w:tc>
          <w:tcPr>
            <w:tcW w:w="0" w:type="auto"/>
            <w:gridSpan w:val="2"/>
            <w:vAlign w:val="bottom"/>
          </w:tcPr>
          <w:p w14:paraId="72E0A327" w14:textId="77777777" w:rsidR="004540AE" w:rsidRPr="0029435F" w:rsidRDefault="004540AE" w:rsidP="00342BAA">
            <w:pPr>
              <w:jc w:val="center"/>
              <w:rPr>
                <w:rFonts w:ascii="Garamond" w:hAnsi="Garamond"/>
              </w:rPr>
            </w:pPr>
            <w:r w:rsidRPr="00976C73">
              <w:rPr>
                <w:rFonts w:ascii="Garamond" w:hAnsi="Garamond" w:cs="Arial"/>
              </w:rPr>
              <w:t>51,678.36</w:t>
            </w:r>
          </w:p>
        </w:tc>
        <w:tc>
          <w:tcPr>
            <w:tcW w:w="0" w:type="auto"/>
            <w:tcMar>
              <w:left w:w="0" w:type="dxa"/>
              <w:right w:w="115" w:type="dxa"/>
            </w:tcMar>
          </w:tcPr>
          <w:p w14:paraId="2EE00807" w14:textId="77777777" w:rsidR="004540AE" w:rsidRPr="0029435F" w:rsidRDefault="004540AE" w:rsidP="00342BAA">
            <w:pPr>
              <w:rPr>
                <w:rFonts w:ascii="Garamond" w:hAnsi="Garamond"/>
              </w:rPr>
            </w:pPr>
          </w:p>
        </w:tc>
        <w:tc>
          <w:tcPr>
            <w:tcW w:w="0" w:type="auto"/>
            <w:gridSpan w:val="2"/>
            <w:vAlign w:val="bottom"/>
          </w:tcPr>
          <w:p w14:paraId="63A0CDEE" w14:textId="77777777" w:rsidR="004540AE" w:rsidRPr="0029435F" w:rsidRDefault="004540AE" w:rsidP="00342BAA">
            <w:pPr>
              <w:jc w:val="center"/>
              <w:rPr>
                <w:rFonts w:ascii="Garamond" w:hAnsi="Garamond"/>
              </w:rPr>
            </w:pPr>
            <w:r w:rsidRPr="00976C73">
              <w:rPr>
                <w:rFonts w:ascii="Garamond" w:hAnsi="Garamond" w:cs="Arial"/>
              </w:rPr>
              <w:t>51,386.86</w:t>
            </w:r>
          </w:p>
        </w:tc>
        <w:tc>
          <w:tcPr>
            <w:tcW w:w="0" w:type="auto"/>
            <w:tcMar>
              <w:left w:w="0" w:type="dxa"/>
              <w:right w:w="115" w:type="dxa"/>
            </w:tcMar>
          </w:tcPr>
          <w:p w14:paraId="2B09180D" w14:textId="77777777" w:rsidR="004540AE" w:rsidRPr="0029435F" w:rsidRDefault="004540AE" w:rsidP="00342BAA">
            <w:pPr>
              <w:rPr>
                <w:rFonts w:ascii="Garamond" w:hAnsi="Garamond"/>
              </w:rPr>
            </w:pPr>
          </w:p>
        </w:tc>
        <w:tc>
          <w:tcPr>
            <w:tcW w:w="0" w:type="auto"/>
            <w:gridSpan w:val="2"/>
            <w:vAlign w:val="bottom"/>
          </w:tcPr>
          <w:p w14:paraId="16EC767A" w14:textId="77777777" w:rsidR="004540AE" w:rsidRPr="0029435F" w:rsidRDefault="004540AE" w:rsidP="00342BAA">
            <w:pPr>
              <w:jc w:val="center"/>
              <w:rPr>
                <w:rFonts w:ascii="Garamond" w:hAnsi="Garamond"/>
              </w:rPr>
            </w:pPr>
            <w:r w:rsidRPr="00976C73">
              <w:rPr>
                <w:rFonts w:ascii="Garamond" w:hAnsi="Garamond" w:cs="Arial"/>
              </w:rPr>
              <w:t>52,011.64</w:t>
            </w:r>
          </w:p>
        </w:tc>
        <w:tc>
          <w:tcPr>
            <w:tcW w:w="0" w:type="auto"/>
            <w:tcMar>
              <w:left w:w="0" w:type="dxa"/>
              <w:right w:w="115" w:type="dxa"/>
            </w:tcMar>
          </w:tcPr>
          <w:p w14:paraId="0889F24D" w14:textId="77777777" w:rsidR="004540AE" w:rsidRPr="0029435F" w:rsidRDefault="004540AE" w:rsidP="00342BAA">
            <w:pPr>
              <w:rPr>
                <w:rFonts w:ascii="Garamond" w:hAnsi="Garamond"/>
              </w:rPr>
            </w:pPr>
          </w:p>
        </w:tc>
        <w:tc>
          <w:tcPr>
            <w:tcW w:w="0" w:type="auto"/>
            <w:gridSpan w:val="2"/>
            <w:vAlign w:val="bottom"/>
          </w:tcPr>
          <w:p w14:paraId="2F212E7E" w14:textId="77777777" w:rsidR="004540AE" w:rsidRPr="0029435F" w:rsidRDefault="004540AE" w:rsidP="00342BAA">
            <w:pPr>
              <w:jc w:val="center"/>
              <w:rPr>
                <w:rFonts w:ascii="Garamond" w:hAnsi="Garamond"/>
              </w:rPr>
            </w:pPr>
            <w:r w:rsidRPr="00976C73">
              <w:rPr>
                <w:rFonts w:ascii="Garamond" w:hAnsi="Garamond" w:cs="Arial"/>
              </w:rPr>
              <w:t>51,541.84</w:t>
            </w:r>
          </w:p>
        </w:tc>
        <w:tc>
          <w:tcPr>
            <w:tcW w:w="0" w:type="auto"/>
            <w:tcMar>
              <w:left w:w="0" w:type="dxa"/>
              <w:right w:w="115" w:type="dxa"/>
            </w:tcMar>
          </w:tcPr>
          <w:p w14:paraId="27016C4B" w14:textId="77777777" w:rsidR="004540AE" w:rsidRPr="0029435F" w:rsidRDefault="004540AE" w:rsidP="00342BAA">
            <w:pPr>
              <w:rPr>
                <w:rFonts w:ascii="Garamond" w:hAnsi="Garamond"/>
              </w:rPr>
            </w:pPr>
          </w:p>
        </w:tc>
        <w:tc>
          <w:tcPr>
            <w:tcW w:w="0" w:type="auto"/>
            <w:gridSpan w:val="2"/>
            <w:vAlign w:val="bottom"/>
          </w:tcPr>
          <w:p w14:paraId="7CA44EE3" w14:textId="77777777" w:rsidR="004540AE" w:rsidRPr="0029435F" w:rsidRDefault="004540AE" w:rsidP="00342BAA">
            <w:pPr>
              <w:jc w:val="center"/>
              <w:rPr>
                <w:rFonts w:ascii="Garamond" w:hAnsi="Garamond"/>
              </w:rPr>
            </w:pPr>
            <w:r w:rsidRPr="00976C73">
              <w:rPr>
                <w:rFonts w:ascii="Garamond" w:hAnsi="Garamond" w:cs="Arial"/>
              </w:rPr>
              <w:t>52,377.54</w:t>
            </w:r>
          </w:p>
        </w:tc>
        <w:tc>
          <w:tcPr>
            <w:tcW w:w="0" w:type="auto"/>
          </w:tcPr>
          <w:p w14:paraId="46734BE8" w14:textId="77777777" w:rsidR="004540AE" w:rsidRPr="0029435F" w:rsidRDefault="004540AE" w:rsidP="00342BAA">
            <w:pPr>
              <w:jc w:val="center"/>
              <w:rPr>
                <w:rFonts w:ascii="Garamond" w:hAnsi="Garamond"/>
              </w:rPr>
            </w:pPr>
          </w:p>
        </w:tc>
      </w:tr>
      <w:tr w:rsidR="004540AE" w:rsidRPr="0083043E" w14:paraId="05294D48" w14:textId="77777777" w:rsidTr="00342BAA">
        <w:tc>
          <w:tcPr>
            <w:tcW w:w="0" w:type="auto"/>
            <w:tcBorders>
              <w:bottom w:val="single" w:sz="4" w:space="0" w:color="auto"/>
            </w:tcBorders>
          </w:tcPr>
          <w:p w14:paraId="70C23F6A" w14:textId="77777777" w:rsidR="004540AE" w:rsidRPr="0029435F" w:rsidRDefault="004540AE" w:rsidP="00342BAA">
            <w:pPr>
              <w:jc w:val="right"/>
              <w:rPr>
                <w:rFonts w:ascii="Garamond" w:hAnsi="Garamond"/>
              </w:rPr>
            </w:pPr>
            <w:r w:rsidRPr="0029435F">
              <w:rPr>
                <w:rFonts w:ascii="Garamond" w:hAnsi="Garamond"/>
              </w:rPr>
              <w:t>BIC</w:t>
            </w:r>
          </w:p>
        </w:tc>
        <w:tc>
          <w:tcPr>
            <w:tcW w:w="0" w:type="auto"/>
            <w:gridSpan w:val="2"/>
            <w:vAlign w:val="bottom"/>
          </w:tcPr>
          <w:p w14:paraId="6707B4C6" w14:textId="77777777" w:rsidR="004540AE" w:rsidRPr="0029435F" w:rsidRDefault="004540AE" w:rsidP="00342BAA">
            <w:pPr>
              <w:jc w:val="center"/>
              <w:rPr>
                <w:rFonts w:ascii="Garamond" w:hAnsi="Garamond"/>
              </w:rPr>
            </w:pPr>
            <w:r w:rsidRPr="00976C73">
              <w:rPr>
                <w:rFonts w:ascii="Garamond" w:hAnsi="Garamond" w:cs="Arial"/>
              </w:rPr>
              <w:t>51,693.34</w:t>
            </w:r>
          </w:p>
        </w:tc>
        <w:tc>
          <w:tcPr>
            <w:tcW w:w="0" w:type="auto"/>
            <w:tcMar>
              <w:left w:w="0" w:type="dxa"/>
              <w:right w:w="115" w:type="dxa"/>
            </w:tcMar>
          </w:tcPr>
          <w:p w14:paraId="2DAF0618" w14:textId="77777777" w:rsidR="004540AE" w:rsidRPr="0029435F" w:rsidRDefault="004540AE" w:rsidP="00342BAA">
            <w:pPr>
              <w:rPr>
                <w:rFonts w:ascii="Garamond" w:hAnsi="Garamond"/>
              </w:rPr>
            </w:pPr>
          </w:p>
        </w:tc>
        <w:tc>
          <w:tcPr>
            <w:tcW w:w="0" w:type="auto"/>
            <w:gridSpan w:val="2"/>
            <w:vAlign w:val="bottom"/>
          </w:tcPr>
          <w:p w14:paraId="2E898B5B" w14:textId="77777777" w:rsidR="004540AE" w:rsidRPr="0029435F" w:rsidRDefault="004540AE" w:rsidP="00342BAA">
            <w:pPr>
              <w:jc w:val="center"/>
              <w:rPr>
                <w:rFonts w:ascii="Garamond" w:hAnsi="Garamond"/>
              </w:rPr>
            </w:pPr>
            <w:r w:rsidRPr="00976C73">
              <w:rPr>
                <w:rFonts w:ascii="Garamond" w:hAnsi="Garamond" w:cs="Arial"/>
              </w:rPr>
              <w:t>51,401.84</w:t>
            </w:r>
          </w:p>
        </w:tc>
        <w:tc>
          <w:tcPr>
            <w:tcW w:w="0" w:type="auto"/>
            <w:tcMar>
              <w:left w:w="0" w:type="dxa"/>
              <w:right w:w="115" w:type="dxa"/>
            </w:tcMar>
          </w:tcPr>
          <w:p w14:paraId="6DB3E438" w14:textId="77777777" w:rsidR="004540AE" w:rsidRPr="0029435F" w:rsidRDefault="004540AE" w:rsidP="00342BAA">
            <w:pPr>
              <w:rPr>
                <w:rFonts w:ascii="Garamond" w:hAnsi="Garamond"/>
              </w:rPr>
            </w:pPr>
          </w:p>
        </w:tc>
        <w:tc>
          <w:tcPr>
            <w:tcW w:w="0" w:type="auto"/>
            <w:gridSpan w:val="2"/>
            <w:vAlign w:val="bottom"/>
          </w:tcPr>
          <w:p w14:paraId="29472118" w14:textId="77777777" w:rsidR="004540AE" w:rsidRPr="0029435F" w:rsidRDefault="004540AE" w:rsidP="00342BAA">
            <w:pPr>
              <w:jc w:val="center"/>
              <w:rPr>
                <w:rFonts w:ascii="Garamond" w:hAnsi="Garamond"/>
              </w:rPr>
            </w:pPr>
            <w:r w:rsidRPr="00976C73">
              <w:rPr>
                <w:rFonts w:ascii="Garamond" w:hAnsi="Garamond" w:cs="Arial"/>
              </w:rPr>
              <w:t>52,026.63</w:t>
            </w:r>
          </w:p>
        </w:tc>
        <w:tc>
          <w:tcPr>
            <w:tcW w:w="0" w:type="auto"/>
            <w:tcMar>
              <w:left w:w="0" w:type="dxa"/>
              <w:right w:w="115" w:type="dxa"/>
            </w:tcMar>
          </w:tcPr>
          <w:p w14:paraId="28CD6D29" w14:textId="77777777" w:rsidR="004540AE" w:rsidRPr="0029435F" w:rsidRDefault="004540AE" w:rsidP="00342BAA">
            <w:pPr>
              <w:rPr>
                <w:rFonts w:ascii="Garamond" w:hAnsi="Garamond"/>
              </w:rPr>
            </w:pPr>
          </w:p>
        </w:tc>
        <w:tc>
          <w:tcPr>
            <w:tcW w:w="0" w:type="auto"/>
            <w:gridSpan w:val="2"/>
            <w:vAlign w:val="bottom"/>
          </w:tcPr>
          <w:p w14:paraId="6BE196C2" w14:textId="77777777" w:rsidR="004540AE" w:rsidRPr="0029435F" w:rsidRDefault="004540AE" w:rsidP="00342BAA">
            <w:pPr>
              <w:jc w:val="center"/>
              <w:rPr>
                <w:rFonts w:ascii="Garamond" w:hAnsi="Garamond"/>
              </w:rPr>
            </w:pPr>
            <w:r w:rsidRPr="00976C73">
              <w:rPr>
                <w:rFonts w:ascii="Garamond" w:hAnsi="Garamond" w:cs="Arial"/>
              </w:rPr>
              <w:t>51,556.83</w:t>
            </w:r>
          </w:p>
        </w:tc>
        <w:tc>
          <w:tcPr>
            <w:tcW w:w="0" w:type="auto"/>
            <w:tcMar>
              <w:left w:w="0" w:type="dxa"/>
              <w:right w:w="115" w:type="dxa"/>
            </w:tcMar>
          </w:tcPr>
          <w:p w14:paraId="48617AA6" w14:textId="77777777" w:rsidR="004540AE" w:rsidRPr="0029435F" w:rsidRDefault="004540AE" w:rsidP="00342BAA">
            <w:pPr>
              <w:rPr>
                <w:rFonts w:ascii="Garamond" w:hAnsi="Garamond"/>
              </w:rPr>
            </w:pPr>
          </w:p>
        </w:tc>
        <w:tc>
          <w:tcPr>
            <w:tcW w:w="0" w:type="auto"/>
            <w:gridSpan w:val="2"/>
            <w:vAlign w:val="bottom"/>
          </w:tcPr>
          <w:p w14:paraId="5EAB1AFA" w14:textId="77777777" w:rsidR="004540AE" w:rsidRPr="0029435F" w:rsidRDefault="004540AE" w:rsidP="00342BAA">
            <w:pPr>
              <w:jc w:val="center"/>
              <w:rPr>
                <w:rFonts w:ascii="Garamond" w:hAnsi="Garamond"/>
              </w:rPr>
            </w:pPr>
            <w:r w:rsidRPr="00976C73">
              <w:rPr>
                <w:rFonts w:ascii="Garamond" w:hAnsi="Garamond" w:cs="Arial"/>
              </w:rPr>
              <w:t>52,392.53</w:t>
            </w:r>
          </w:p>
        </w:tc>
        <w:tc>
          <w:tcPr>
            <w:tcW w:w="0" w:type="auto"/>
          </w:tcPr>
          <w:p w14:paraId="6536DF81" w14:textId="77777777" w:rsidR="004540AE" w:rsidRPr="0029435F" w:rsidRDefault="004540AE" w:rsidP="00342BAA">
            <w:pPr>
              <w:jc w:val="center"/>
              <w:rPr>
                <w:rFonts w:ascii="Garamond" w:hAnsi="Garamond"/>
              </w:rPr>
            </w:pPr>
          </w:p>
        </w:tc>
      </w:tr>
      <w:tr w:rsidR="004540AE" w:rsidRPr="00976C73" w14:paraId="74575636" w14:textId="77777777" w:rsidTr="00342BAA">
        <w:tc>
          <w:tcPr>
            <w:tcW w:w="0" w:type="auto"/>
            <w:gridSpan w:val="16"/>
            <w:tcBorders>
              <w:top w:val="single" w:sz="4" w:space="0" w:color="auto"/>
            </w:tcBorders>
          </w:tcPr>
          <w:p w14:paraId="1C866879" w14:textId="77777777" w:rsidR="004540AE" w:rsidRPr="0029435F" w:rsidRDefault="004540AE" w:rsidP="00342BAA">
            <w:pPr>
              <w:rPr>
                <w:rFonts w:ascii="Garamond" w:hAnsi="Garamond"/>
              </w:rPr>
            </w:pPr>
            <w:r w:rsidRPr="0029435F">
              <w:rPr>
                <w:rFonts w:ascii="Garamond" w:hAnsi="Garamond"/>
              </w:rPr>
              <w:t>Source: American Violence Project; American Community Survey 201</w:t>
            </w:r>
            <w:r>
              <w:rPr>
                <w:rFonts w:ascii="Garamond" w:hAnsi="Garamond"/>
              </w:rPr>
              <w:t>6</w:t>
            </w:r>
            <w:r w:rsidRPr="0029435F">
              <w:rPr>
                <w:rFonts w:ascii="Garamond" w:hAnsi="Garamond"/>
              </w:rPr>
              <w:t>-20</w:t>
            </w:r>
            <w:r>
              <w:rPr>
                <w:rFonts w:ascii="Garamond" w:hAnsi="Garamond"/>
              </w:rPr>
              <w:t>20</w:t>
            </w:r>
            <w:r w:rsidRPr="0029435F">
              <w:rPr>
                <w:rFonts w:ascii="Garamond" w:hAnsi="Garamond"/>
              </w:rPr>
              <w:t xml:space="preserve"> 5-year estimates; </w:t>
            </w:r>
          </w:p>
          <w:p w14:paraId="6B62AEF7" w14:textId="77777777" w:rsidR="004540AE" w:rsidRPr="0029435F" w:rsidRDefault="004540AE" w:rsidP="00342BAA">
            <w:pPr>
              <w:rPr>
                <w:rFonts w:ascii="Garamond" w:hAnsi="Garamond"/>
              </w:rPr>
            </w:pPr>
            <w:r>
              <w:rPr>
                <w:rFonts w:ascii="Garamond" w:eastAsiaTheme="minorEastAsia" w:hAnsi="Garamond" w:hint="eastAsia"/>
                <w:lang w:eastAsia="ko-KR"/>
              </w:rPr>
              <w:t>CDC</w:t>
            </w:r>
            <w:r w:rsidRPr="0029435F">
              <w:rPr>
                <w:rFonts w:ascii="Garamond" w:hAnsi="Garamond"/>
              </w:rPr>
              <w:t xml:space="preserve"> Social Vulnerability Index</w:t>
            </w:r>
            <w:r>
              <w:rPr>
                <w:rFonts w:ascii="Garamond" w:hAnsi="Garamond"/>
              </w:rPr>
              <w:t xml:space="preserve"> 2020</w:t>
            </w:r>
          </w:p>
          <w:p w14:paraId="43DF1EBC" w14:textId="77777777" w:rsidR="004540AE" w:rsidRPr="0029435F" w:rsidRDefault="004540AE" w:rsidP="00342BAA">
            <w:pPr>
              <w:rPr>
                <w:rFonts w:ascii="Garamond" w:hAnsi="Garamond"/>
              </w:rPr>
            </w:pPr>
            <w:r w:rsidRPr="0029435F">
              <w:rPr>
                <w:rFonts w:ascii="Garamond" w:hAnsi="Garamond"/>
              </w:rPr>
              <w:t>Notes: Standard errors adjusted for clustering in 84 cities</w:t>
            </w:r>
          </w:p>
          <w:p w14:paraId="61AAE671" w14:textId="77777777" w:rsidR="004540AE" w:rsidRPr="0029435F" w:rsidRDefault="004540AE" w:rsidP="00342BAA">
            <w:pPr>
              <w:rPr>
                <w:rFonts w:ascii="Garamond" w:hAnsi="Garamond"/>
              </w:rPr>
            </w:pPr>
            <w:r w:rsidRPr="0029435F">
              <w:rPr>
                <w:rFonts w:ascii="Garamond" w:hAnsi="Garamond"/>
              </w:rPr>
              <w:t>*p&lt;0.05; **p&lt;0.01; ***p&lt;0.001</w:t>
            </w:r>
          </w:p>
        </w:tc>
      </w:tr>
    </w:tbl>
    <w:p w14:paraId="55935BAA" w14:textId="77777777" w:rsidR="004540AE" w:rsidRDefault="004540AE" w:rsidP="004540AE"/>
    <w:p w14:paraId="113060F4" w14:textId="77777777" w:rsidR="004540AE" w:rsidRDefault="004540AE" w:rsidP="004540AE"/>
    <w:p w14:paraId="08041C1A" w14:textId="77777777" w:rsidR="004540AE" w:rsidRDefault="004540AE" w:rsidP="004540AE"/>
    <w:p w14:paraId="20B6D269" w14:textId="77777777" w:rsidR="004540AE" w:rsidRDefault="004540AE" w:rsidP="004540AE"/>
    <w:p w14:paraId="20B2CC21" w14:textId="77777777" w:rsidR="004540AE" w:rsidRDefault="004540AE" w:rsidP="004540AE"/>
    <w:p w14:paraId="064DDA7E" w14:textId="77777777" w:rsidR="004540AE" w:rsidRDefault="004540AE" w:rsidP="004540AE">
      <w:r>
        <w:br w:type="page"/>
      </w:r>
    </w:p>
    <w:tbl>
      <w:tblPr>
        <w:tblStyle w:val="TableGrid"/>
        <w:tblW w:w="10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5"/>
        <w:gridCol w:w="1547"/>
        <w:gridCol w:w="1401"/>
        <w:gridCol w:w="978"/>
        <w:gridCol w:w="1547"/>
        <w:gridCol w:w="1401"/>
        <w:gridCol w:w="978"/>
      </w:tblGrid>
      <w:tr w:rsidR="004540AE" w:rsidRPr="00A35E19" w14:paraId="3B5D75CA" w14:textId="77777777" w:rsidTr="00342BAA">
        <w:trPr>
          <w:trHeight w:val="400"/>
        </w:trPr>
        <w:tc>
          <w:tcPr>
            <w:tcW w:w="0" w:type="auto"/>
            <w:gridSpan w:val="7"/>
            <w:tcBorders>
              <w:bottom w:val="single" w:sz="4" w:space="0" w:color="auto"/>
            </w:tcBorders>
          </w:tcPr>
          <w:p w14:paraId="73C3D8B4" w14:textId="77777777" w:rsidR="004540AE" w:rsidRPr="00A35E19" w:rsidRDefault="004540AE" w:rsidP="00342BAA">
            <w:pPr>
              <w:rPr>
                <w:rFonts w:ascii="Garamond" w:hAnsi="Garamond"/>
              </w:rPr>
            </w:pPr>
            <w:r w:rsidRPr="00A35E19">
              <w:rPr>
                <w:rFonts w:ascii="Garamond" w:hAnsi="Garamond"/>
              </w:rPr>
              <w:lastRenderedPageBreak/>
              <w:t xml:space="preserve">Appendix 2b: </w:t>
            </w:r>
            <w:r w:rsidRPr="0029435F">
              <w:rPr>
                <w:rFonts w:ascii="Garamond" w:hAnsi="Garamond"/>
              </w:rPr>
              <w:t xml:space="preserve">OLS Regression of Firearm Homicide Rates </w:t>
            </w:r>
            <w:r w:rsidRPr="00A35E19">
              <w:rPr>
                <w:rFonts w:ascii="Garamond" w:hAnsi="Garamond"/>
              </w:rPr>
              <w:t>on tract-level CDI Standardized to National, State, and City-level (N = 13,268 tracts)</w:t>
            </w:r>
          </w:p>
        </w:tc>
      </w:tr>
      <w:tr w:rsidR="00DF3074" w:rsidRPr="00A35E19" w14:paraId="1C9938DB" w14:textId="77777777" w:rsidTr="00342BAA">
        <w:trPr>
          <w:trHeight w:val="200"/>
        </w:trPr>
        <w:tc>
          <w:tcPr>
            <w:tcW w:w="0" w:type="auto"/>
            <w:tcBorders>
              <w:top w:val="double" w:sz="4" w:space="0" w:color="auto"/>
              <w:bottom w:val="single" w:sz="4" w:space="0" w:color="auto"/>
            </w:tcBorders>
          </w:tcPr>
          <w:p w14:paraId="0B7C9EBA" w14:textId="77777777" w:rsidR="00DF3074" w:rsidRPr="00A35E19" w:rsidRDefault="00DF3074" w:rsidP="00342BAA">
            <w:pPr>
              <w:rPr>
                <w:rFonts w:ascii="Garamond" w:hAnsi="Garamond"/>
              </w:rPr>
            </w:pPr>
          </w:p>
        </w:tc>
        <w:tc>
          <w:tcPr>
            <w:tcW w:w="0" w:type="auto"/>
            <w:gridSpan w:val="3"/>
            <w:tcBorders>
              <w:top w:val="double" w:sz="4" w:space="0" w:color="auto"/>
              <w:bottom w:val="single" w:sz="4" w:space="0" w:color="auto"/>
            </w:tcBorders>
          </w:tcPr>
          <w:p w14:paraId="46E1FEF7" w14:textId="77777777" w:rsidR="00DF3074" w:rsidRPr="00A35E19" w:rsidRDefault="00DF3074" w:rsidP="00342BAA">
            <w:pPr>
              <w:jc w:val="center"/>
              <w:rPr>
                <w:rFonts w:ascii="Garamond" w:hAnsi="Garamond"/>
              </w:rPr>
            </w:pPr>
            <w:r w:rsidRPr="00A35E19">
              <w:rPr>
                <w:rFonts w:ascii="Garamond" w:hAnsi="Garamond"/>
              </w:rPr>
              <w:t>Model 6</w:t>
            </w:r>
          </w:p>
        </w:tc>
        <w:tc>
          <w:tcPr>
            <w:tcW w:w="0" w:type="auto"/>
            <w:gridSpan w:val="3"/>
            <w:tcBorders>
              <w:top w:val="double" w:sz="4" w:space="0" w:color="auto"/>
              <w:bottom w:val="single" w:sz="4" w:space="0" w:color="auto"/>
            </w:tcBorders>
          </w:tcPr>
          <w:p w14:paraId="66FF28D0" w14:textId="77777777" w:rsidR="00DF3074" w:rsidRPr="00A35E19" w:rsidRDefault="00DF3074" w:rsidP="00342BAA">
            <w:pPr>
              <w:jc w:val="center"/>
              <w:rPr>
                <w:rFonts w:ascii="Garamond" w:hAnsi="Garamond"/>
              </w:rPr>
            </w:pPr>
            <w:r w:rsidRPr="00A35E19">
              <w:rPr>
                <w:rFonts w:ascii="Garamond" w:hAnsi="Garamond"/>
              </w:rPr>
              <w:t>Model 7</w:t>
            </w:r>
          </w:p>
        </w:tc>
      </w:tr>
      <w:tr w:rsidR="00DF3074" w:rsidRPr="00A35E19" w14:paraId="3A216F00" w14:textId="77777777" w:rsidTr="00342BAA">
        <w:trPr>
          <w:trHeight w:val="184"/>
        </w:trPr>
        <w:tc>
          <w:tcPr>
            <w:tcW w:w="0" w:type="auto"/>
            <w:tcBorders>
              <w:top w:val="single" w:sz="4" w:space="0" w:color="auto"/>
            </w:tcBorders>
          </w:tcPr>
          <w:p w14:paraId="3D26EBA5" w14:textId="77777777" w:rsidR="00DF3074" w:rsidRPr="00A35E19" w:rsidRDefault="00DF3074" w:rsidP="00342BAA">
            <w:pPr>
              <w:jc w:val="right"/>
              <w:rPr>
                <w:rFonts w:ascii="Garamond" w:hAnsi="Garamond"/>
              </w:rPr>
            </w:pPr>
          </w:p>
        </w:tc>
        <w:tc>
          <w:tcPr>
            <w:tcW w:w="0" w:type="auto"/>
            <w:gridSpan w:val="3"/>
            <w:tcBorders>
              <w:top w:val="single" w:sz="4" w:space="0" w:color="auto"/>
              <w:bottom w:val="single" w:sz="4" w:space="0" w:color="auto"/>
            </w:tcBorders>
          </w:tcPr>
          <w:p w14:paraId="192AFABA" w14:textId="77777777" w:rsidR="00DF3074" w:rsidRPr="00A35E19" w:rsidRDefault="00DF3074" w:rsidP="00342BAA">
            <w:pPr>
              <w:jc w:val="center"/>
              <w:rPr>
                <w:rFonts w:ascii="Garamond" w:hAnsi="Garamond"/>
              </w:rPr>
            </w:pPr>
            <w:r w:rsidRPr="00A35E19">
              <w:rPr>
                <w:rFonts w:ascii="Garamond" w:hAnsi="Garamond"/>
              </w:rPr>
              <w:t xml:space="preserve">National </w:t>
            </w:r>
          </w:p>
        </w:tc>
        <w:tc>
          <w:tcPr>
            <w:tcW w:w="0" w:type="auto"/>
            <w:gridSpan w:val="3"/>
            <w:tcBorders>
              <w:top w:val="single" w:sz="4" w:space="0" w:color="auto"/>
              <w:bottom w:val="single" w:sz="4" w:space="0" w:color="auto"/>
            </w:tcBorders>
          </w:tcPr>
          <w:p w14:paraId="20E1669F" w14:textId="77777777" w:rsidR="00DF3074" w:rsidRPr="00A35E19" w:rsidRDefault="00DF3074" w:rsidP="00342BAA">
            <w:pPr>
              <w:jc w:val="center"/>
              <w:rPr>
                <w:rFonts w:ascii="Garamond" w:hAnsi="Garamond"/>
              </w:rPr>
            </w:pPr>
            <w:r w:rsidRPr="00A35E19">
              <w:rPr>
                <w:rFonts w:ascii="Garamond" w:hAnsi="Garamond"/>
              </w:rPr>
              <w:t>State</w:t>
            </w:r>
          </w:p>
        </w:tc>
      </w:tr>
      <w:tr w:rsidR="00DF3074" w:rsidRPr="00A35E19" w14:paraId="6ACD0DA8" w14:textId="77777777" w:rsidTr="00342BAA">
        <w:trPr>
          <w:trHeight w:val="200"/>
        </w:trPr>
        <w:tc>
          <w:tcPr>
            <w:tcW w:w="0" w:type="auto"/>
          </w:tcPr>
          <w:p w14:paraId="2FAC2919" w14:textId="77777777" w:rsidR="00DF3074" w:rsidRPr="00A35E19" w:rsidRDefault="00DF3074" w:rsidP="00342BAA">
            <w:pPr>
              <w:jc w:val="right"/>
              <w:rPr>
                <w:rFonts w:ascii="Garamond" w:hAnsi="Garamond"/>
              </w:rPr>
            </w:pPr>
          </w:p>
        </w:tc>
        <w:tc>
          <w:tcPr>
            <w:tcW w:w="0" w:type="auto"/>
            <w:tcBorders>
              <w:top w:val="single" w:sz="4" w:space="0" w:color="auto"/>
              <w:bottom w:val="single" w:sz="4" w:space="0" w:color="auto"/>
            </w:tcBorders>
          </w:tcPr>
          <w:p w14:paraId="7AB1633E" w14:textId="77777777" w:rsidR="00DF3074" w:rsidRPr="00A35E19" w:rsidRDefault="00DF3074" w:rsidP="00342BAA">
            <w:pPr>
              <w:jc w:val="right"/>
              <w:rPr>
                <w:rFonts w:ascii="Garamond" w:hAnsi="Garamond"/>
              </w:rPr>
            </w:pPr>
            <w:proofErr w:type="spellStart"/>
            <w:r w:rsidRPr="00647591">
              <w:rPr>
                <w:rFonts w:ascii="Garamond" w:eastAsiaTheme="minorEastAsia" w:hAnsi="Garamond"/>
                <w:lang w:eastAsia="ko-KR"/>
              </w:rPr>
              <w:t>Coef</w:t>
            </w:r>
            <w:proofErr w:type="spellEnd"/>
          </w:p>
        </w:tc>
        <w:tc>
          <w:tcPr>
            <w:tcW w:w="0" w:type="auto"/>
            <w:tcBorders>
              <w:top w:val="single" w:sz="4" w:space="0" w:color="auto"/>
              <w:bottom w:val="single" w:sz="4" w:space="0" w:color="auto"/>
            </w:tcBorders>
          </w:tcPr>
          <w:p w14:paraId="02394673" w14:textId="77777777" w:rsidR="00DF3074" w:rsidRPr="00A35E19" w:rsidRDefault="00DF3074" w:rsidP="00342BAA">
            <w:pPr>
              <w:jc w:val="right"/>
              <w:rPr>
                <w:rFonts w:ascii="Garamond" w:hAnsi="Garamond"/>
              </w:rPr>
            </w:pPr>
            <w:r w:rsidRPr="00A35E19">
              <w:rPr>
                <w:rFonts w:ascii="Garamond" w:hAnsi="Garamond"/>
              </w:rPr>
              <w:t>SE</w:t>
            </w:r>
          </w:p>
        </w:tc>
        <w:tc>
          <w:tcPr>
            <w:tcW w:w="0" w:type="auto"/>
            <w:tcBorders>
              <w:top w:val="single" w:sz="4" w:space="0" w:color="auto"/>
              <w:bottom w:val="single" w:sz="4" w:space="0" w:color="auto"/>
            </w:tcBorders>
            <w:tcMar>
              <w:left w:w="0" w:type="dxa"/>
              <w:right w:w="115" w:type="dxa"/>
            </w:tcMar>
          </w:tcPr>
          <w:p w14:paraId="6A50663E" w14:textId="77777777" w:rsidR="00DF3074" w:rsidRPr="00A35E19" w:rsidRDefault="00DF3074" w:rsidP="00342BAA">
            <w:pPr>
              <w:rPr>
                <w:rFonts w:ascii="Garamond" w:hAnsi="Garamond"/>
              </w:rPr>
            </w:pPr>
          </w:p>
        </w:tc>
        <w:tc>
          <w:tcPr>
            <w:tcW w:w="0" w:type="auto"/>
            <w:tcBorders>
              <w:top w:val="single" w:sz="4" w:space="0" w:color="auto"/>
              <w:bottom w:val="single" w:sz="4" w:space="0" w:color="auto"/>
            </w:tcBorders>
          </w:tcPr>
          <w:p w14:paraId="296F48C5" w14:textId="77777777" w:rsidR="00DF3074" w:rsidRPr="00A35E19" w:rsidRDefault="00DF3074" w:rsidP="00342BAA">
            <w:pPr>
              <w:jc w:val="right"/>
              <w:rPr>
                <w:rFonts w:ascii="Garamond" w:hAnsi="Garamond"/>
              </w:rPr>
            </w:pPr>
            <w:proofErr w:type="spellStart"/>
            <w:r w:rsidRPr="00647591">
              <w:rPr>
                <w:rFonts w:ascii="Garamond" w:eastAsiaTheme="minorEastAsia" w:hAnsi="Garamond"/>
                <w:lang w:eastAsia="ko-KR"/>
              </w:rPr>
              <w:t>Coef</w:t>
            </w:r>
            <w:proofErr w:type="spellEnd"/>
          </w:p>
        </w:tc>
        <w:tc>
          <w:tcPr>
            <w:tcW w:w="0" w:type="auto"/>
            <w:tcBorders>
              <w:top w:val="single" w:sz="4" w:space="0" w:color="auto"/>
              <w:bottom w:val="single" w:sz="4" w:space="0" w:color="auto"/>
            </w:tcBorders>
          </w:tcPr>
          <w:p w14:paraId="2D477BCB" w14:textId="77777777" w:rsidR="00DF3074" w:rsidRPr="00A35E19" w:rsidRDefault="00DF3074" w:rsidP="00342BAA">
            <w:pPr>
              <w:jc w:val="right"/>
              <w:rPr>
                <w:rFonts w:ascii="Garamond" w:hAnsi="Garamond"/>
              </w:rPr>
            </w:pPr>
            <w:r w:rsidRPr="00A35E19">
              <w:rPr>
                <w:rFonts w:ascii="Garamond" w:hAnsi="Garamond"/>
              </w:rPr>
              <w:t>SE</w:t>
            </w:r>
          </w:p>
        </w:tc>
        <w:tc>
          <w:tcPr>
            <w:tcW w:w="0" w:type="auto"/>
            <w:tcBorders>
              <w:top w:val="single" w:sz="4" w:space="0" w:color="auto"/>
              <w:bottom w:val="single" w:sz="4" w:space="0" w:color="auto"/>
            </w:tcBorders>
            <w:tcMar>
              <w:left w:w="0" w:type="dxa"/>
              <w:right w:w="115" w:type="dxa"/>
            </w:tcMar>
          </w:tcPr>
          <w:p w14:paraId="2A64E680" w14:textId="77777777" w:rsidR="00DF3074" w:rsidRPr="00A35E19" w:rsidRDefault="00DF3074" w:rsidP="00342BAA">
            <w:pPr>
              <w:rPr>
                <w:rFonts w:ascii="Garamond" w:hAnsi="Garamond"/>
              </w:rPr>
            </w:pPr>
          </w:p>
        </w:tc>
      </w:tr>
      <w:tr w:rsidR="00DF3074" w:rsidRPr="00A35E19" w14:paraId="69F5DC5F" w14:textId="77777777" w:rsidTr="00342BAA">
        <w:trPr>
          <w:trHeight w:val="200"/>
        </w:trPr>
        <w:tc>
          <w:tcPr>
            <w:tcW w:w="0" w:type="auto"/>
          </w:tcPr>
          <w:p w14:paraId="5791D35A" w14:textId="77777777" w:rsidR="00DF3074" w:rsidRPr="00FB7743" w:rsidRDefault="00DF3074" w:rsidP="00342BAA">
            <w:pPr>
              <w:jc w:val="right"/>
              <w:rPr>
                <w:rFonts w:ascii="Garamond" w:hAnsi="Garamond"/>
              </w:rPr>
            </w:pPr>
            <w:r>
              <w:rPr>
                <w:rFonts w:ascii="Garamond" w:hAnsi="Garamond"/>
              </w:rPr>
              <w:t>Intercept</w:t>
            </w:r>
          </w:p>
        </w:tc>
        <w:tc>
          <w:tcPr>
            <w:tcW w:w="0" w:type="auto"/>
            <w:tcBorders>
              <w:top w:val="single" w:sz="4" w:space="0" w:color="auto"/>
            </w:tcBorders>
            <w:vAlign w:val="bottom"/>
          </w:tcPr>
          <w:p w14:paraId="1065FE23" w14:textId="6D99BC1D" w:rsidR="00DF3074" w:rsidRPr="00EE7E92" w:rsidRDefault="00DF3074" w:rsidP="00342BAA">
            <w:pPr>
              <w:jc w:val="right"/>
              <w:rPr>
                <w:rFonts w:ascii="Garamond" w:eastAsiaTheme="minorEastAsia" w:hAnsi="Garamond"/>
                <w:lang w:eastAsia="ko-KR"/>
              </w:rPr>
            </w:pPr>
            <w:r w:rsidRPr="00647591">
              <w:rPr>
                <w:rFonts w:ascii="Garamond" w:hAnsi="Garamond" w:cs="Arial"/>
              </w:rPr>
              <w:t>0.7</w:t>
            </w:r>
            <w:r w:rsidR="00F60A0B">
              <w:rPr>
                <w:rFonts w:ascii="Garamond" w:eastAsiaTheme="minorEastAsia" w:hAnsi="Garamond" w:cs="Arial" w:hint="eastAsia"/>
                <w:lang w:eastAsia="ko-KR"/>
              </w:rPr>
              <w:t>5</w:t>
            </w:r>
          </w:p>
        </w:tc>
        <w:tc>
          <w:tcPr>
            <w:tcW w:w="0" w:type="auto"/>
            <w:tcBorders>
              <w:top w:val="single" w:sz="4" w:space="0" w:color="auto"/>
            </w:tcBorders>
            <w:vAlign w:val="bottom"/>
          </w:tcPr>
          <w:p w14:paraId="33D34168" w14:textId="06D8D642" w:rsidR="00DF3074" w:rsidRPr="00A35E19" w:rsidRDefault="00DF3074" w:rsidP="00342BAA">
            <w:pPr>
              <w:jc w:val="right"/>
              <w:rPr>
                <w:rFonts w:ascii="Garamond" w:hAnsi="Garamond"/>
              </w:rPr>
            </w:pPr>
            <w:r w:rsidRPr="00647591">
              <w:rPr>
                <w:rFonts w:ascii="Garamond" w:hAnsi="Garamond" w:cs="Arial"/>
              </w:rPr>
              <w:t>0.1</w:t>
            </w:r>
            <w:r>
              <w:rPr>
                <w:rFonts w:ascii="Garamond" w:hAnsi="Garamond" w:cs="Arial"/>
              </w:rPr>
              <w:t>3</w:t>
            </w:r>
          </w:p>
        </w:tc>
        <w:tc>
          <w:tcPr>
            <w:tcW w:w="0" w:type="auto"/>
            <w:tcBorders>
              <w:top w:val="single" w:sz="4" w:space="0" w:color="auto"/>
            </w:tcBorders>
            <w:tcMar>
              <w:left w:w="0" w:type="dxa"/>
              <w:right w:w="115" w:type="dxa"/>
            </w:tcMar>
            <w:vAlign w:val="bottom"/>
          </w:tcPr>
          <w:p w14:paraId="4A811191" w14:textId="77777777" w:rsidR="00DF3074" w:rsidRPr="00A35E19" w:rsidRDefault="00DF3074" w:rsidP="00342BAA">
            <w:pPr>
              <w:rPr>
                <w:rFonts w:ascii="Garamond" w:hAnsi="Garamond"/>
              </w:rPr>
            </w:pPr>
            <w:r w:rsidRPr="00647591">
              <w:rPr>
                <w:rFonts w:ascii="Garamond" w:hAnsi="Garamond" w:cs="Arial"/>
              </w:rPr>
              <w:t>***</w:t>
            </w:r>
          </w:p>
        </w:tc>
        <w:tc>
          <w:tcPr>
            <w:tcW w:w="0" w:type="auto"/>
            <w:tcBorders>
              <w:top w:val="single" w:sz="4" w:space="0" w:color="auto"/>
            </w:tcBorders>
            <w:vAlign w:val="bottom"/>
          </w:tcPr>
          <w:p w14:paraId="548BB8E6" w14:textId="77777777" w:rsidR="00DF3074" w:rsidRPr="00A35E19" w:rsidRDefault="00DF3074" w:rsidP="00342BAA">
            <w:pPr>
              <w:jc w:val="right"/>
              <w:rPr>
                <w:rFonts w:ascii="Garamond" w:hAnsi="Garamond"/>
              </w:rPr>
            </w:pPr>
            <w:r w:rsidRPr="00647591">
              <w:rPr>
                <w:rFonts w:ascii="Garamond" w:hAnsi="Garamond" w:cs="Arial"/>
              </w:rPr>
              <w:t>0.76</w:t>
            </w:r>
          </w:p>
        </w:tc>
        <w:tc>
          <w:tcPr>
            <w:tcW w:w="0" w:type="auto"/>
            <w:tcBorders>
              <w:top w:val="single" w:sz="4" w:space="0" w:color="auto"/>
            </w:tcBorders>
            <w:vAlign w:val="bottom"/>
          </w:tcPr>
          <w:p w14:paraId="0F412580" w14:textId="628C33C7" w:rsidR="00DF3074" w:rsidRPr="00A35E19" w:rsidRDefault="00DF3074" w:rsidP="00342BAA">
            <w:pPr>
              <w:jc w:val="right"/>
              <w:rPr>
                <w:rFonts w:ascii="Garamond" w:hAnsi="Garamond"/>
              </w:rPr>
            </w:pPr>
            <w:r w:rsidRPr="00647591">
              <w:rPr>
                <w:rFonts w:ascii="Garamond" w:hAnsi="Garamond" w:cs="Arial"/>
              </w:rPr>
              <w:t>0.</w:t>
            </w:r>
            <w:r>
              <w:rPr>
                <w:rFonts w:ascii="Garamond" w:hAnsi="Garamond" w:cs="Arial"/>
              </w:rPr>
              <w:t>13</w:t>
            </w:r>
          </w:p>
        </w:tc>
        <w:tc>
          <w:tcPr>
            <w:tcW w:w="0" w:type="auto"/>
            <w:tcBorders>
              <w:top w:val="single" w:sz="4" w:space="0" w:color="auto"/>
            </w:tcBorders>
            <w:tcMar>
              <w:left w:w="0" w:type="dxa"/>
              <w:right w:w="115" w:type="dxa"/>
            </w:tcMar>
            <w:vAlign w:val="bottom"/>
          </w:tcPr>
          <w:p w14:paraId="51486016" w14:textId="77777777" w:rsidR="00DF3074" w:rsidRPr="00A35E19" w:rsidRDefault="00DF3074" w:rsidP="00342BAA">
            <w:pPr>
              <w:rPr>
                <w:rFonts w:ascii="Garamond" w:hAnsi="Garamond"/>
              </w:rPr>
            </w:pPr>
            <w:r w:rsidRPr="00647591">
              <w:rPr>
                <w:rFonts w:ascii="Garamond" w:hAnsi="Garamond" w:cs="Arial"/>
              </w:rPr>
              <w:t>***</w:t>
            </w:r>
          </w:p>
        </w:tc>
      </w:tr>
      <w:tr w:rsidR="00DF3074" w:rsidRPr="00A35E19" w14:paraId="7EB46BC6" w14:textId="77777777" w:rsidTr="00342BAA">
        <w:trPr>
          <w:trHeight w:val="130"/>
        </w:trPr>
        <w:tc>
          <w:tcPr>
            <w:tcW w:w="0" w:type="auto"/>
          </w:tcPr>
          <w:p w14:paraId="18141B14" w14:textId="77777777" w:rsidR="00DF3074" w:rsidRPr="00A35E19" w:rsidRDefault="00DF3074" w:rsidP="00342BAA">
            <w:pPr>
              <w:jc w:val="right"/>
              <w:rPr>
                <w:rFonts w:ascii="Garamond" w:hAnsi="Garamond"/>
              </w:rPr>
            </w:pPr>
            <w:r>
              <w:rPr>
                <w:rFonts w:ascii="Garamond" w:hAnsi="Garamond"/>
              </w:rPr>
              <w:t>Slope</w:t>
            </w:r>
          </w:p>
        </w:tc>
        <w:tc>
          <w:tcPr>
            <w:tcW w:w="0" w:type="auto"/>
            <w:vAlign w:val="bottom"/>
          </w:tcPr>
          <w:p w14:paraId="565F9DB0" w14:textId="612512F3" w:rsidR="00DF3074" w:rsidRPr="00EE7E92" w:rsidRDefault="00DF3074" w:rsidP="00342BAA">
            <w:pPr>
              <w:jc w:val="right"/>
              <w:rPr>
                <w:rFonts w:ascii="Garamond" w:eastAsiaTheme="minorEastAsia" w:hAnsi="Garamond"/>
                <w:lang w:eastAsia="ko-KR"/>
              </w:rPr>
            </w:pPr>
            <w:r w:rsidRPr="00647591">
              <w:rPr>
                <w:rFonts w:ascii="Garamond" w:hAnsi="Garamond" w:cs="Arial"/>
              </w:rPr>
              <w:t>0.</w:t>
            </w:r>
            <w:r w:rsidR="00F60A0B">
              <w:rPr>
                <w:rFonts w:ascii="Garamond" w:eastAsiaTheme="minorEastAsia" w:hAnsi="Garamond" w:cs="Arial" w:hint="eastAsia"/>
                <w:lang w:eastAsia="ko-KR"/>
              </w:rPr>
              <w:t>63</w:t>
            </w:r>
          </w:p>
        </w:tc>
        <w:tc>
          <w:tcPr>
            <w:tcW w:w="0" w:type="auto"/>
            <w:vAlign w:val="bottom"/>
          </w:tcPr>
          <w:p w14:paraId="2D315775" w14:textId="24AF840A" w:rsidR="00DF3074" w:rsidRPr="00EE7E92" w:rsidRDefault="00DF3074" w:rsidP="00342BAA">
            <w:pPr>
              <w:jc w:val="right"/>
              <w:rPr>
                <w:rFonts w:ascii="Garamond" w:eastAsiaTheme="minorEastAsia" w:hAnsi="Garamond"/>
                <w:lang w:eastAsia="ko-KR"/>
              </w:rPr>
            </w:pPr>
            <w:r w:rsidRPr="00647591">
              <w:rPr>
                <w:rFonts w:ascii="Garamond" w:hAnsi="Garamond" w:cs="Arial"/>
              </w:rPr>
              <w:t>0.</w:t>
            </w:r>
            <w:r>
              <w:rPr>
                <w:rFonts w:ascii="Garamond" w:hAnsi="Garamond" w:cs="Arial"/>
              </w:rPr>
              <w:t>1</w:t>
            </w:r>
            <w:r w:rsidR="00F60A0B">
              <w:rPr>
                <w:rFonts w:ascii="Garamond" w:eastAsiaTheme="minorEastAsia" w:hAnsi="Garamond" w:cs="Arial" w:hint="eastAsia"/>
                <w:lang w:eastAsia="ko-KR"/>
              </w:rPr>
              <w:t>2</w:t>
            </w:r>
          </w:p>
        </w:tc>
        <w:tc>
          <w:tcPr>
            <w:tcW w:w="0" w:type="auto"/>
            <w:tcMar>
              <w:left w:w="0" w:type="dxa"/>
              <w:right w:w="115" w:type="dxa"/>
            </w:tcMar>
            <w:vAlign w:val="bottom"/>
          </w:tcPr>
          <w:p w14:paraId="58F4FA45" w14:textId="77777777" w:rsidR="00DF3074" w:rsidRPr="00A35E19" w:rsidRDefault="00DF3074" w:rsidP="00342BAA">
            <w:pPr>
              <w:rPr>
                <w:rFonts w:ascii="Garamond" w:hAnsi="Garamond"/>
              </w:rPr>
            </w:pPr>
            <w:r w:rsidRPr="00647591">
              <w:rPr>
                <w:rFonts w:ascii="Garamond" w:hAnsi="Garamond" w:cs="Arial"/>
              </w:rPr>
              <w:t>***</w:t>
            </w:r>
          </w:p>
        </w:tc>
        <w:tc>
          <w:tcPr>
            <w:tcW w:w="0" w:type="auto"/>
            <w:vAlign w:val="bottom"/>
          </w:tcPr>
          <w:p w14:paraId="49320FF1" w14:textId="31A4C3E7" w:rsidR="00DF3074" w:rsidRPr="00A35E19" w:rsidRDefault="00DF3074" w:rsidP="00342BAA">
            <w:pPr>
              <w:jc w:val="right"/>
              <w:rPr>
                <w:rFonts w:ascii="Garamond" w:hAnsi="Garamond"/>
              </w:rPr>
            </w:pPr>
            <w:r w:rsidRPr="00647591">
              <w:rPr>
                <w:rFonts w:ascii="Garamond" w:hAnsi="Garamond" w:cs="Arial"/>
              </w:rPr>
              <w:t>0.</w:t>
            </w:r>
            <w:r>
              <w:rPr>
                <w:rFonts w:ascii="Garamond" w:hAnsi="Garamond" w:cs="Arial"/>
              </w:rPr>
              <w:t>51</w:t>
            </w:r>
          </w:p>
        </w:tc>
        <w:tc>
          <w:tcPr>
            <w:tcW w:w="0" w:type="auto"/>
            <w:vAlign w:val="bottom"/>
          </w:tcPr>
          <w:p w14:paraId="209A7974" w14:textId="409CECC3" w:rsidR="00DF3074" w:rsidRPr="00A35E19" w:rsidRDefault="00DF3074" w:rsidP="00342BAA">
            <w:pPr>
              <w:jc w:val="right"/>
              <w:rPr>
                <w:rFonts w:ascii="Garamond" w:hAnsi="Garamond"/>
              </w:rPr>
            </w:pPr>
            <w:r w:rsidRPr="00647591">
              <w:rPr>
                <w:rFonts w:ascii="Garamond" w:hAnsi="Garamond" w:cs="Arial"/>
              </w:rPr>
              <w:t>0.</w:t>
            </w:r>
            <w:r>
              <w:rPr>
                <w:rFonts w:ascii="Garamond" w:hAnsi="Garamond" w:cs="Arial"/>
              </w:rPr>
              <w:t>10</w:t>
            </w:r>
          </w:p>
        </w:tc>
        <w:tc>
          <w:tcPr>
            <w:tcW w:w="0" w:type="auto"/>
            <w:tcMar>
              <w:left w:w="0" w:type="dxa"/>
              <w:right w:w="115" w:type="dxa"/>
            </w:tcMar>
            <w:vAlign w:val="bottom"/>
          </w:tcPr>
          <w:p w14:paraId="61321601" w14:textId="77777777" w:rsidR="00DF3074" w:rsidRPr="00A35E19" w:rsidRDefault="00DF3074" w:rsidP="00342BAA">
            <w:pPr>
              <w:rPr>
                <w:rFonts w:ascii="Garamond" w:hAnsi="Garamond"/>
              </w:rPr>
            </w:pPr>
            <w:r w:rsidRPr="00647591">
              <w:rPr>
                <w:rFonts w:ascii="Garamond" w:hAnsi="Garamond" w:cs="Arial"/>
              </w:rPr>
              <w:t>***</w:t>
            </w:r>
          </w:p>
        </w:tc>
      </w:tr>
      <w:tr w:rsidR="00DF3074" w:rsidRPr="00A35E19" w14:paraId="5DD54DA5" w14:textId="77777777" w:rsidTr="00342BAA">
        <w:trPr>
          <w:trHeight w:val="200"/>
        </w:trPr>
        <w:tc>
          <w:tcPr>
            <w:tcW w:w="0" w:type="auto"/>
          </w:tcPr>
          <w:p w14:paraId="6A978B21" w14:textId="77777777" w:rsidR="00DF3074" w:rsidRPr="00A35E19" w:rsidRDefault="00DF3074" w:rsidP="00342BAA">
            <w:pPr>
              <w:jc w:val="right"/>
              <w:rPr>
                <w:rFonts w:ascii="Garamond" w:hAnsi="Garamond"/>
              </w:rPr>
            </w:pPr>
            <w:r w:rsidRPr="00A35E19">
              <w:rPr>
                <w:rFonts w:ascii="Garamond" w:hAnsi="Garamond"/>
              </w:rPr>
              <w:t>R</w:t>
            </w:r>
            <w:r w:rsidRPr="00A35E19">
              <w:rPr>
                <w:rFonts w:ascii="Garamond" w:hAnsi="Garamond"/>
                <w:vertAlign w:val="superscript"/>
              </w:rPr>
              <w:t>2</w:t>
            </w:r>
          </w:p>
        </w:tc>
        <w:tc>
          <w:tcPr>
            <w:tcW w:w="0" w:type="auto"/>
            <w:gridSpan w:val="2"/>
            <w:vAlign w:val="bottom"/>
          </w:tcPr>
          <w:p w14:paraId="52C16919" w14:textId="1B07A8DE" w:rsidR="00DF3074" w:rsidRPr="00A35E19" w:rsidRDefault="00DF3074" w:rsidP="00342BAA">
            <w:pPr>
              <w:jc w:val="center"/>
              <w:rPr>
                <w:rFonts w:ascii="Garamond" w:hAnsi="Garamond"/>
              </w:rPr>
            </w:pPr>
            <w:r w:rsidRPr="00647591">
              <w:rPr>
                <w:rFonts w:ascii="Garamond" w:hAnsi="Garamond" w:cs="Arial"/>
              </w:rPr>
              <w:t>0.</w:t>
            </w:r>
            <w:r>
              <w:rPr>
                <w:rFonts w:ascii="Garamond" w:hAnsi="Garamond" w:cs="Arial"/>
              </w:rPr>
              <w:t>09</w:t>
            </w:r>
          </w:p>
        </w:tc>
        <w:tc>
          <w:tcPr>
            <w:tcW w:w="0" w:type="auto"/>
            <w:tcMar>
              <w:left w:w="0" w:type="dxa"/>
              <w:right w:w="115" w:type="dxa"/>
            </w:tcMar>
          </w:tcPr>
          <w:p w14:paraId="60E9C470" w14:textId="77777777" w:rsidR="00DF3074" w:rsidRPr="00A35E19" w:rsidRDefault="00DF3074" w:rsidP="00342BAA">
            <w:pPr>
              <w:rPr>
                <w:rFonts w:ascii="Garamond" w:hAnsi="Garamond"/>
              </w:rPr>
            </w:pPr>
          </w:p>
        </w:tc>
        <w:tc>
          <w:tcPr>
            <w:tcW w:w="0" w:type="auto"/>
            <w:gridSpan w:val="2"/>
            <w:vAlign w:val="bottom"/>
          </w:tcPr>
          <w:p w14:paraId="0321ED29" w14:textId="1B3D1758" w:rsidR="00DF3074" w:rsidRPr="00A35E19" w:rsidRDefault="00DF3074" w:rsidP="00342BAA">
            <w:pPr>
              <w:jc w:val="center"/>
              <w:rPr>
                <w:rFonts w:ascii="Garamond" w:hAnsi="Garamond"/>
              </w:rPr>
            </w:pPr>
            <w:r w:rsidRPr="00647591">
              <w:rPr>
                <w:rFonts w:ascii="Garamond" w:hAnsi="Garamond" w:cs="Arial"/>
              </w:rPr>
              <w:t>0.0</w:t>
            </w:r>
            <w:r>
              <w:rPr>
                <w:rFonts w:ascii="Garamond" w:hAnsi="Garamond" w:cs="Arial"/>
              </w:rPr>
              <w:t>9</w:t>
            </w:r>
          </w:p>
        </w:tc>
        <w:tc>
          <w:tcPr>
            <w:tcW w:w="0" w:type="auto"/>
            <w:tcMar>
              <w:left w:w="0" w:type="dxa"/>
              <w:right w:w="115" w:type="dxa"/>
            </w:tcMar>
          </w:tcPr>
          <w:p w14:paraId="4793E3A9" w14:textId="77777777" w:rsidR="00DF3074" w:rsidRPr="00A35E19" w:rsidRDefault="00DF3074" w:rsidP="00342BAA">
            <w:pPr>
              <w:rPr>
                <w:rFonts w:ascii="Garamond" w:hAnsi="Garamond"/>
              </w:rPr>
            </w:pPr>
          </w:p>
        </w:tc>
      </w:tr>
      <w:tr w:rsidR="00DF3074" w:rsidRPr="00A35E19" w14:paraId="4E3891DD" w14:textId="77777777" w:rsidTr="00342BAA">
        <w:trPr>
          <w:trHeight w:val="200"/>
        </w:trPr>
        <w:tc>
          <w:tcPr>
            <w:tcW w:w="0" w:type="auto"/>
          </w:tcPr>
          <w:p w14:paraId="5B109E2A" w14:textId="77777777" w:rsidR="00DF3074" w:rsidRPr="00A35E19" w:rsidRDefault="00DF3074" w:rsidP="00342BAA">
            <w:pPr>
              <w:jc w:val="right"/>
              <w:rPr>
                <w:rFonts w:ascii="Garamond" w:hAnsi="Garamond"/>
              </w:rPr>
            </w:pPr>
            <w:r w:rsidRPr="00A35E19">
              <w:rPr>
                <w:rFonts w:ascii="Garamond" w:hAnsi="Garamond"/>
              </w:rPr>
              <w:t>AIC</w:t>
            </w:r>
          </w:p>
        </w:tc>
        <w:tc>
          <w:tcPr>
            <w:tcW w:w="0" w:type="auto"/>
            <w:gridSpan w:val="2"/>
            <w:vAlign w:val="bottom"/>
          </w:tcPr>
          <w:p w14:paraId="27908854" w14:textId="339657EE" w:rsidR="00DF3074" w:rsidRPr="00A35E19" w:rsidRDefault="00F60A0B" w:rsidP="00342BAA">
            <w:pPr>
              <w:jc w:val="center"/>
              <w:rPr>
                <w:rFonts w:ascii="Garamond" w:hAnsi="Garamond"/>
              </w:rPr>
            </w:pPr>
            <w:r w:rsidRPr="00F60A0B">
              <w:rPr>
                <w:rFonts w:ascii="Garamond" w:hAnsi="Garamond" w:cs="Arial"/>
              </w:rPr>
              <w:t>50499.42</w:t>
            </w:r>
          </w:p>
        </w:tc>
        <w:tc>
          <w:tcPr>
            <w:tcW w:w="0" w:type="auto"/>
            <w:tcMar>
              <w:left w:w="0" w:type="dxa"/>
              <w:right w:w="115" w:type="dxa"/>
            </w:tcMar>
          </w:tcPr>
          <w:p w14:paraId="6ECAB489" w14:textId="77777777" w:rsidR="00DF3074" w:rsidRPr="00A35E19" w:rsidRDefault="00DF3074" w:rsidP="00342BAA">
            <w:pPr>
              <w:rPr>
                <w:rFonts w:ascii="Garamond" w:hAnsi="Garamond"/>
              </w:rPr>
            </w:pPr>
          </w:p>
        </w:tc>
        <w:tc>
          <w:tcPr>
            <w:tcW w:w="0" w:type="auto"/>
            <w:gridSpan w:val="2"/>
            <w:vAlign w:val="bottom"/>
          </w:tcPr>
          <w:p w14:paraId="717CEA8C" w14:textId="034372FD" w:rsidR="00DF3074" w:rsidRPr="00A35E19" w:rsidRDefault="00F60A0B" w:rsidP="00342BAA">
            <w:pPr>
              <w:jc w:val="center"/>
              <w:rPr>
                <w:rFonts w:ascii="Garamond" w:hAnsi="Garamond"/>
              </w:rPr>
            </w:pPr>
            <w:r w:rsidRPr="00F60A0B">
              <w:rPr>
                <w:rFonts w:ascii="Garamond" w:hAnsi="Garamond" w:cs="Arial"/>
              </w:rPr>
              <w:t>51192.51</w:t>
            </w:r>
          </w:p>
        </w:tc>
        <w:tc>
          <w:tcPr>
            <w:tcW w:w="0" w:type="auto"/>
            <w:tcMar>
              <w:left w:w="0" w:type="dxa"/>
              <w:right w:w="115" w:type="dxa"/>
            </w:tcMar>
          </w:tcPr>
          <w:p w14:paraId="603EE396" w14:textId="77777777" w:rsidR="00DF3074" w:rsidRPr="00A35E19" w:rsidRDefault="00DF3074" w:rsidP="00342BAA">
            <w:pPr>
              <w:rPr>
                <w:rFonts w:ascii="Garamond" w:hAnsi="Garamond"/>
              </w:rPr>
            </w:pPr>
          </w:p>
        </w:tc>
      </w:tr>
      <w:tr w:rsidR="00DF3074" w:rsidRPr="00A35E19" w14:paraId="140132B5" w14:textId="77777777" w:rsidTr="00342BAA">
        <w:trPr>
          <w:trHeight w:val="200"/>
        </w:trPr>
        <w:tc>
          <w:tcPr>
            <w:tcW w:w="0" w:type="auto"/>
            <w:tcBorders>
              <w:bottom w:val="single" w:sz="4" w:space="0" w:color="auto"/>
            </w:tcBorders>
          </w:tcPr>
          <w:p w14:paraId="6B409F81" w14:textId="77777777" w:rsidR="00DF3074" w:rsidRPr="00A35E19" w:rsidRDefault="00DF3074" w:rsidP="00342BAA">
            <w:pPr>
              <w:jc w:val="right"/>
              <w:rPr>
                <w:rFonts w:ascii="Garamond" w:hAnsi="Garamond"/>
              </w:rPr>
            </w:pPr>
            <w:r w:rsidRPr="00A35E19">
              <w:rPr>
                <w:rFonts w:ascii="Garamond" w:hAnsi="Garamond"/>
              </w:rPr>
              <w:t>BIC</w:t>
            </w:r>
          </w:p>
        </w:tc>
        <w:tc>
          <w:tcPr>
            <w:tcW w:w="0" w:type="auto"/>
            <w:gridSpan w:val="2"/>
            <w:tcBorders>
              <w:bottom w:val="single" w:sz="4" w:space="0" w:color="auto"/>
            </w:tcBorders>
            <w:vAlign w:val="bottom"/>
          </w:tcPr>
          <w:p w14:paraId="2933F7FF" w14:textId="78CD00F3" w:rsidR="00DF3074" w:rsidRPr="00A35E19" w:rsidRDefault="00F60A0B" w:rsidP="00342BAA">
            <w:pPr>
              <w:jc w:val="center"/>
              <w:rPr>
                <w:rFonts w:ascii="Garamond" w:hAnsi="Garamond"/>
              </w:rPr>
            </w:pPr>
            <w:r w:rsidRPr="00F60A0B">
              <w:rPr>
                <w:rFonts w:ascii="Garamond" w:hAnsi="Garamond" w:cs="Arial"/>
              </w:rPr>
              <w:t>50514.41</w:t>
            </w:r>
          </w:p>
        </w:tc>
        <w:tc>
          <w:tcPr>
            <w:tcW w:w="0" w:type="auto"/>
            <w:tcBorders>
              <w:bottom w:val="single" w:sz="4" w:space="0" w:color="auto"/>
            </w:tcBorders>
            <w:tcMar>
              <w:left w:w="0" w:type="dxa"/>
              <w:right w:w="115" w:type="dxa"/>
            </w:tcMar>
          </w:tcPr>
          <w:p w14:paraId="49BDCD46" w14:textId="77777777" w:rsidR="00DF3074" w:rsidRPr="00A35E19" w:rsidRDefault="00DF3074" w:rsidP="00342BAA">
            <w:pPr>
              <w:rPr>
                <w:rFonts w:ascii="Garamond" w:hAnsi="Garamond"/>
              </w:rPr>
            </w:pPr>
          </w:p>
        </w:tc>
        <w:tc>
          <w:tcPr>
            <w:tcW w:w="0" w:type="auto"/>
            <w:gridSpan w:val="2"/>
            <w:tcBorders>
              <w:bottom w:val="single" w:sz="4" w:space="0" w:color="auto"/>
            </w:tcBorders>
            <w:vAlign w:val="bottom"/>
          </w:tcPr>
          <w:p w14:paraId="1178D5E4" w14:textId="700D06F3" w:rsidR="00DF3074" w:rsidRPr="00A35E19" w:rsidRDefault="00F60A0B" w:rsidP="00342BAA">
            <w:pPr>
              <w:jc w:val="center"/>
              <w:rPr>
                <w:rFonts w:ascii="Garamond" w:hAnsi="Garamond"/>
              </w:rPr>
            </w:pPr>
            <w:r w:rsidRPr="00F60A0B">
              <w:rPr>
                <w:rFonts w:ascii="Garamond" w:hAnsi="Garamond" w:cs="Arial"/>
              </w:rPr>
              <w:t>51207.49</w:t>
            </w:r>
          </w:p>
        </w:tc>
        <w:tc>
          <w:tcPr>
            <w:tcW w:w="0" w:type="auto"/>
            <w:tcBorders>
              <w:bottom w:val="single" w:sz="4" w:space="0" w:color="auto"/>
            </w:tcBorders>
            <w:tcMar>
              <w:left w:w="0" w:type="dxa"/>
              <w:right w:w="115" w:type="dxa"/>
            </w:tcMar>
          </w:tcPr>
          <w:p w14:paraId="63B24F09" w14:textId="77777777" w:rsidR="00DF3074" w:rsidRPr="00A35E19" w:rsidRDefault="00DF3074" w:rsidP="00342BAA">
            <w:pPr>
              <w:rPr>
                <w:rFonts w:ascii="Garamond" w:hAnsi="Garamond"/>
              </w:rPr>
            </w:pPr>
          </w:p>
        </w:tc>
      </w:tr>
      <w:tr w:rsidR="004540AE" w:rsidRPr="00A35E19" w14:paraId="478CEB10" w14:textId="77777777" w:rsidTr="00342BAA">
        <w:trPr>
          <w:trHeight w:val="790"/>
        </w:trPr>
        <w:tc>
          <w:tcPr>
            <w:tcW w:w="0" w:type="auto"/>
            <w:gridSpan w:val="7"/>
            <w:tcBorders>
              <w:top w:val="single" w:sz="4" w:space="0" w:color="auto"/>
            </w:tcBorders>
          </w:tcPr>
          <w:p w14:paraId="0D030B05" w14:textId="77777777" w:rsidR="004540AE" w:rsidRPr="00A35E19" w:rsidRDefault="004540AE" w:rsidP="00342BAA">
            <w:pPr>
              <w:rPr>
                <w:rFonts w:ascii="Garamond" w:hAnsi="Garamond"/>
              </w:rPr>
            </w:pPr>
            <w:r w:rsidRPr="00A35E19">
              <w:rPr>
                <w:rFonts w:ascii="Garamond" w:hAnsi="Garamond"/>
              </w:rPr>
              <w:t>Source: American Violence Project; American Community Survey 201</w:t>
            </w:r>
            <w:r>
              <w:rPr>
                <w:rFonts w:ascii="Garamond" w:hAnsi="Garamond"/>
              </w:rPr>
              <w:t>6</w:t>
            </w:r>
            <w:r w:rsidRPr="00A35E19">
              <w:rPr>
                <w:rFonts w:ascii="Garamond" w:hAnsi="Garamond"/>
              </w:rPr>
              <w:t>-202</w:t>
            </w:r>
            <w:r>
              <w:rPr>
                <w:rFonts w:ascii="Garamond" w:hAnsi="Garamond"/>
              </w:rPr>
              <w:t>0</w:t>
            </w:r>
            <w:r w:rsidRPr="00A35E19">
              <w:rPr>
                <w:rFonts w:ascii="Garamond" w:hAnsi="Garamond"/>
              </w:rPr>
              <w:t xml:space="preserve"> 5-year estimates. </w:t>
            </w:r>
          </w:p>
          <w:p w14:paraId="48CA7A4F" w14:textId="77777777" w:rsidR="004540AE" w:rsidRPr="00A35E19" w:rsidRDefault="004540AE" w:rsidP="00342BAA">
            <w:pPr>
              <w:rPr>
                <w:rFonts w:ascii="Garamond" w:hAnsi="Garamond"/>
              </w:rPr>
            </w:pPr>
            <w:r w:rsidRPr="00A35E19">
              <w:rPr>
                <w:rFonts w:ascii="Garamond" w:hAnsi="Garamond"/>
              </w:rPr>
              <w:t>Notes: Standard errors adjusted for clustering in 84 cities</w:t>
            </w:r>
          </w:p>
          <w:p w14:paraId="1AC30B15" w14:textId="77777777" w:rsidR="004540AE" w:rsidRPr="00A35E19" w:rsidRDefault="004540AE" w:rsidP="00342BAA">
            <w:pPr>
              <w:rPr>
                <w:rFonts w:ascii="Garamond" w:hAnsi="Garamond"/>
              </w:rPr>
            </w:pPr>
            <w:r w:rsidRPr="00A35E19">
              <w:rPr>
                <w:rFonts w:ascii="Garamond" w:hAnsi="Garamond"/>
              </w:rPr>
              <w:t>*p&lt;0.05; **p&lt;0.01; ***p&lt;0.001</w:t>
            </w:r>
          </w:p>
        </w:tc>
      </w:tr>
    </w:tbl>
    <w:p w14:paraId="042294C4" w14:textId="77777777" w:rsidR="004540AE" w:rsidRDefault="004540AE" w:rsidP="004540AE">
      <w:pPr>
        <w:spacing w:after="0" w:line="240" w:lineRule="auto"/>
        <w:jc w:val="both"/>
        <w:rPr>
          <w:rFonts w:ascii="Garamond" w:hAnsi="Garamond"/>
        </w:rPr>
      </w:pPr>
    </w:p>
    <w:p w14:paraId="3DB1CF69" w14:textId="77777777" w:rsidR="004540AE" w:rsidRDefault="004540AE" w:rsidP="004540AE">
      <w:pPr>
        <w:rPr>
          <w:rFonts w:ascii="Garamond" w:hAnsi="Garamond"/>
        </w:rPr>
      </w:pPr>
      <w:r>
        <w:rPr>
          <w:rFonts w:ascii="Garamond" w:hAnsi="Garamond"/>
        </w:rPr>
        <w:br w:type="page"/>
      </w:r>
    </w:p>
    <w:p w14:paraId="696ECF6D" w14:textId="77777777" w:rsidR="004540AE" w:rsidRDefault="004540AE" w:rsidP="004540AE">
      <w:pPr>
        <w:spacing w:after="0" w:line="240" w:lineRule="auto"/>
        <w:jc w:val="both"/>
        <w:rPr>
          <w:rFonts w:ascii="Garamond" w:hAnsi="Garamond"/>
        </w:rPr>
      </w:pPr>
      <w:r>
        <w:rPr>
          <w:rFonts w:ascii="Garamond" w:hAnsi="Garamond"/>
        </w:rPr>
        <w:lastRenderedPageBreak/>
        <w:t>Appendix 3: Model Comparisons Across Different CDI Specifications</w:t>
      </w:r>
    </w:p>
    <w:tbl>
      <w:tblPr>
        <w:tblStyle w:val="PlainTable2"/>
        <w:tblW w:w="0" w:type="auto"/>
        <w:tblLook w:val="04A0" w:firstRow="1" w:lastRow="0" w:firstColumn="1" w:lastColumn="0" w:noHBand="0" w:noVBand="1"/>
      </w:tblPr>
      <w:tblGrid>
        <w:gridCol w:w="1269"/>
        <w:gridCol w:w="1504"/>
        <w:gridCol w:w="1504"/>
        <w:gridCol w:w="2414"/>
        <w:gridCol w:w="1504"/>
        <w:gridCol w:w="1504"/>
        <w:gridCol w:w="2414"/>
      </w:tblGrid>
      <w:tr w:rsidR="00DF3074" w:rsidRPr="00764985" w14:paraId="627FA521" w14:textId="77777777" w:rsidTr="00342B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87218" w14:textId="77777777" w:rsidR="00DF3074" w:rsidRPr="00764985" w:rsidRDefault="00DF3074" w:rsidP="00342BAA">
            <w:pPr>
              <w:jc w:val="both"/>
              <w:rPr>
                <w:rFonts w:ascii="Garamond" w:hAnsi="Garamond"/>
              </w:rPr>
            </w:pPr>
          </w:p>
        </w:tc>
        <w:tc>
          <w:tcPr>
            <w:tcW w:w="0" w:type="auto"/>
            <w:hideMark/>
          </w:tcPr>
          <w:p w14:paraId="53DDF954"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National</w:t>
            </w:r>
          </w:p>
        </w:tc>
        <w:tc>
          <w:tcPr>
            <w:tcW w:w="0" w:type="auto"/>
            <w:hideMark/>
          </w:tcPr>
          <w:p w14:paraId="05B2F9F7"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p>
        </w:tc>
        <w:tc>
          <w:tcPr>
            <w:tcW w:w="0" w:type="auto"/>
            <w:hideMark/>
          </w:tcPr>
          <w:p w14:paraId="3E2C222B"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p>
        </w:tc>
        <w:tc>
          <w:tcPr>
            <w:tcW w:w="0" w:type="auto"/>
            <w:hideMark/>
          </w:tcPr>
          <w:p w14:paraId="3E279041"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State</w:t>
            </w:r>
          </w:p>
        </w:tc>
        <w:tc>
          <w:tcPr>
            <w:tcW w:w="0" w:type="auto"/>
            <w:hideMark/>
          </w:tcPr>
          <w:p w14:paraId="0ED5F624"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p>
        </w:tc>
        <w:tc>
          <w:tcPr>
            <w:tcW w:w="0" w:type="auto"/>
            <w:hideMark/>
          </w:tcPr>
          <w:p w14:paraId="41508577" w14:textId="77777777" w:rsidR="00DF3074" w:rsidRPr="00764985" w:rsidRDefault="00DF3074" w:rsidP="00342BAA">
            <w:pPr>
              <w:jc w:val="both"/>
              <w:cnfStyle w:val="100000000000" w:firstRow="1" w:lastRow="0" w:firstColumn="0" w:lastColumn="0" w:oddVBand="0" w:evenVBand="0" w:oddHBand="0" w:evenHBand="0" w:firstRowFirstColumn="0" w:firstRowLastColumn="0" w:lastRowFirstColumn="0" w:lastRowLastColumn="0"/>
              <w:rPr>
                <w:rFonts w:ascii="Garamond" w:hAnsi="Garamond"/>
              </w:rPr>
            </w:pPr>
          </w:p>
        </w:tc>
      </w:tr>
      <w:tr w:rsidR="00DF3074" w:rsidRPr="00764985" w14:paraId="36D443E3" w14:textId="77777777" w:rsidTr="00342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EE0B8" w14:textId="77777777" w:rsidR="00DF3074" w:rsidRPr="00764985" w:rsidRDefault="00DF3074" w:rsidP="00342BAA">
            <w:pPr>
              <w:jc w:val="both"/>
              <w:rPr>
                <w:rFonts w:ascii="Garamond" w:hAnsi="Garamond"/>
              </w:rPr>
            </w:pPr>
          </w:p>
        </w:tc>
        <w:tc>
          <w:tcPr>
            <w:tcW w:w="0" w:type="auto"/>
            <w:hideMark/>
          </w:tcPr>
          <w:p w14:paraId="377DAD10"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V1 </w:t>
            </w:r>
          </w:p>
          <w:p w14:paraId="482FC4BD" w14:textId="1F811E8C"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 items)</w:t>
            </w:r>
          </w:p>
        </w:tc>
        <w:tc>
          <w:tcPr>
            <w:tcW w:w="0" w:type="auto"/>
            <w:hideMark/>
          </w:tcPr>
          <w:p w14:paraId="167411CF"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V2 </w:t>
            </w:r>
          </w:p>
          <w:p w14:paraId="6B9B74F4" w14:textId="6AA35155"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(+Education)</w:t>
            </w:r>
          </w:p>
        </w:tc>
        <w:tc>
          <w:tcPr>
            <w:tcW w:w="0" w:type="auto"/>
            <w:hideMark/>
          </w:tcPr>
          <w:p w14:paraId="28EBC5C6"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V3 </w:t>
            </w:r>
          </w:p>
          <w:p w14:paraId="45E29CDE" w14:textId="7E8E01E6"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(+Education +Income)</w:t>
            </w:r>
          </w:p>
        </w:tc>
        <w:tc>
          <w:tcPr>
            <w:tcW w:w="0" w:type="auto"/>
            <w:hideMark/>
          </w:tcPr>
          <w:p w14:paraId="563E410E"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V1 </w:t>
            </w:r>
          </w:p>
          <w:p w14:paraId="21A8BD9A" w14:textId="107E3EDC"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 items)</w:t>
            </w:r>
          </w:p>
        </w:tc>
        <w:tc>
          <w:tcPr>
            <w:tcW w:w="0" w:type="auto"/>
            <w:hideMark/>
          </w:tcPr>
          <w:p w14:paraId="73D63871"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V2 </w:t>
            </w:r>
          </w:p>
          <w:p w14:paraId="617E8553" w14:textId="5F62FECF"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(+Education)</w:t>
            </w:r>
          </w:p>
        </w:tc>
        <w:tc>
          <w:tcPr>
            <w:tcW w:w="0" w:type="auto"/>
            <w:hideMark/>
          </w:tcPr>
          <w:p w14:paraId="36313BEC" w14:textId="77777777" w:rsidR="00DF3074"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 xml:space="preserve">V3 </w:t>
            </w:r>
          </w:p>
          <w:p w14:paraId="4DCDACD3" w14:textId="0AC69209"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(+Education+</w:t>
            </w:r>
            <w:r>
              <w:rPr>
                <w:rFonts w:ascii="Garamond" w:hAnsi="Garamond"/>
              </w:rPr>
              <w:t xml:space="preserve"> </w:t>
            </w:r>
            <w:r w:rsidRPr="00764985">
              <w:rPr>
                <w:rFonts w:ascii="Garamond" w:hAnsi="Garamond"/>
              </w:rPr>
              <w:t>Income)</w:t>
            </w:r>
          </w:p>
        </w:tc>
      </w:tr>
      <w:tr w:rsidR="00DF3074" w:rsidRPr="00764985" w14:paraId="0BAAD085" w14:textId="77777777" w:rsidTr="00342BAA">
        <w:tc>
          <w:tcPr>
            <w:cnfStyle w:val="001000000000" w:firstRow="0" w:lastRow="0" w:firstColumn="1" w:lastColumn="0" w:oddVBand="0" w:evenVBand="0" w:oddHBand="0" w:evenHBand="0" w:firstRowFirstColumn="0" w:firstRowLastColumn="0" w:lastRowFirstColumn="0" w:lastRowLastColumn="0"/>
            <w:tcW w:w="0" w:type="auto"/>
            <w:hideMark/>
          </w:tcPr>
          <w:p w14:paraId="083D2DE4" w14:textId="77777777" w:rsidR="00DF3074" w:rsidRPr="00764985" w:rsidRDefault="00DF3074" w:rsidP="00342BAA">
            <w:pPr>
              <w:jc w:val="both"/>
              <w:rPr>
                <w:rFonts w:ascii="Garamond" w:hAnsi="Garamond"/>
              </w:rPr>
            </w:pPr>
            <w:r w:rsidRPr="00764985">
              <w:rPr>
                <w:rFonts w:ascii="Garamond" w:hAnsi="Garamond"/>
              </w:rPr>
              <w:t>IRR</w:t>
            </w:r>
          </w:p>
        </w:tc>
        <w:tc>
          <w:tcPr>
            <w:tcW w:w="0" w:type="auto"/>
            <w:hideMark/>
          </w:tcPr>
          <w:p w14:paraId="2E162FD0"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2.31*** (0.09)</w:t>
            </w:r>
          </w:p>
        </w:tc>
        <w:tc>
          <w:tcPr>
            <w:tcW w:w="0" w:type="auto"/>
            <w:hideMark/>
          </w:tcPr>
          <w:p w14:paraId="243509F1"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2.35*** (0.10)</w:t>
            </w:r>
          </w:p>
        </w:tc>
        <w:tc>
          <w:tcPr>
            <w:tcW w:w="0" w:type="auto"/>
            <w:hideMark/>
          </w:tcPr>
          <w:p w14:paraId="21CB320D"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2.55*** (0.11)</w:t>
            </w:r>
          </w:p>
        </w:tc>
        <w:tc>
          <w:tcPr>
            <w:tcW w:w="0" w:type="auto"/>
            <w:hideMark/>
          </w:tcPr>
          <w:p w14:paraId="0B4BEBDA"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2.11*** (0.12)</w:t>
            </w:r>
          </w:p>
        </w:tc>
        <w:tc>
          <w:tcPr>
            <w:tcW w:w="0" w:type="auto"/>
            <w:hideMark/>
          </w:tcPr>
          <w:p w14:paraId="7AA3B67A"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2.18*** (0.12)</w:t>
            </w:r>
          </w:p>
        </w:tc>
        <w:tc>
          <w:tcPr>
            <w:tcW w:w="0" w:type="auto"/>
            <w:hideMark/>
          </w:tcPr>
          <w:p w14:paraId="759C4D92"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2.30*** (0.13)</w:t>
            </w:r>
          </w:p>
        </w:tc>
      </w:tr>
      <w:tr w:rsidR="00DF3074" w:rsidRPr="00764985" w14:paraId="3EFA9D7B" w14:textId="77777777" w:rsidTr="00342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E3E28" w14:textId="77777777" w:rsidR="00DF3074" w:rsidRPr="00764985" w:rsidRDefault="00DF3074" w:rsidP="00342BAA">
            <w:pPr>
              <w:jc w:val="both"/>
              <w:rPr>
                <w:rFonts w:ascii="Garamond" w:hAnsi="Garamond"/>
              </w:rPr>
            </w:pPr>
            <w:r w:rsidRPr="00764985">
              <w:rPr>
                <w:rFonts w:ascii="Garamond" w:hAnsi="Garamond"/>
              </w:rPr>
              <w:t>Pseudo R²</w:t>
            </w:r>
          </w:p>
        </w:tc>
        <w:tc>
          <w:tcPr>
            <w:tcW w:w="0" w:type="auto"/>
            <w:hideMark/>
          </w:tcPr>
          <w:p w14:paraId="44735514"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0.07</w:t>
            </w:r>
          </w:p>
        </w:tc>
        <w:tc>
          <w:tcPr>
            <w:tcW w:w="0" w:type="auto"/>
            <w:hideMark/>
          </w:tcPr>
          <w:p w14:paraId="1793C439"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0.07</w:t>
            </w:r>
          </w:p>
        </w:tc>
        <w:tc>
          <w:tcPr>
            <w:tcW w:w="0" w:type="auto"/>
            <w:hideMark/>
          </w:tcPr>
          <w:p w14:paraId="1ADB7E06"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0.08</w:t>
            </w:r>
          </w:p>
        </w:tc>
        <w:tc>
          <w:tcPr>
            <w:tcW w:w="0" w:type="auto"/>
            <w:hideMark/>
          </w:tcPr>
          <w:p w14:paraId="717E724F"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0.05</w:t>
            </w:r>
          </w:p>
        </w:tc>
        <w:tc>
          <w:tcPr>
            <w:tcW w:w="0" w:type="auto"/>
            <w:hideMark/>
          </w:tcPr>
          <w:p w14:paraId="1AF44181"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0.05</w:t>
            </w:r>
          </w:p>
        </w:tc>
        <w:tc>
          <w:tcPr>
            <w:tcW w:w="0" w:type="auto"/>
            <w:hideMark/>
          </w:tcPr>
          <w:p w14:paraId="2781AEA2"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0.06</w:t>
            </w:r>
          </w:p>
        </w:tc>
      </w:tr>
      <w:tr w:rsidR="00DF3074" w:rsidRPr="00764985" w14:paraId="3C23AE22" w14:textId="77777777" w:rsidTr="00342BAA">
        <w:tc>
          <w:tcPr>
            <w:cnfStyle w:val="001000000000" w:firstRow="0" w:lastRow="0" w:firstColumn="1" w:lastColumn="0" w:oddVBand="0" w:evenVBand="0" w:oddHBand="0" w:evenHBand="0" w:firstRowFirstColumn="0" w:firstRowLastColumn="0" w:lastRowFirstColumn="0" w:lastRowLastColumn="0"/>
            <w:tcW w:w="0" w:type="auto"/>
            <w:hideMark/>
          </w:tcPr>
          <w:p w14:paraId="2F7852F3" w14:textId="77777777" w:rsidR="00DF3074" w:rsidRPr="00764985" w:rsidRDefault="00DF3074" w:rsidP="00342BAA">
            <w:pPr>
              <w:jc w:val="both"/>
              <w:rPr>
                <w:rFonts w:ascii="Garamond" w:hAnsi="Garamond"/>
              </w:rPr>
            </w:pPr>
            <w:r w:rsidRPr="00764985">
              <w:rPr>
                <w:rFonts w:ascii="Garamond" w:hAnsi="Garamond"/>
              </w:rPr>
              <w:t>AIC</w:t>
            </w:r>
          </w:p>
        </w:tc>
        <w:tc>
          <w:tcPr>
            <w:tcW w:w="0" w:type="auto"/>
            <w:hideMark/>
          </w:tcPr>
          <w:p w14:paraId="3612F0E5"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48,040.90</w:t>
            </w:r>
          </w:p>
        </w:tc>
        <w:tc>
          <w:tcPr>
            <w:tcW w:w="0" w:type="auto"/>
            <w:hideMark/>
          </w:tcPr>
          <w:p w14:paraId="0FB05903"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47,910.05</w:t>
            </w:r>
          </w:p>
        </w:tc>
        <w:tc>
          <w:tcPr>
            <w:tcW w:w="0" w:type="auto"/>
            <w:hideMark/>
          </w:tcPr>
          <w:p w14:paraId="7B537711"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46,987.20</w:t>
            </w:r>
          </w:p>
        </w:tc>
        <w:tc>
          <w:tcPr>
            <w:tcW w:w="0" w:type="auto"/>
            <w:hideMark/>
          </w:tcPr>
          <w:p w14:paraId="4C0BC31B"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49,065.73</w:t>
            </w:r>
          </w:p>
        </w:tc>
        <w:tc>
          <w:tcPr>
            <w:tcW w:w="0" w:type="auto"/>
            <w:hideMark/>
          </w:tcPr>
          <w:p w14:paraId="7A48CD6E"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48,829.62</w:t>
            </w:r>
          </w:p>
        </w:tc>
        <w:tc>
          <w:tcPr>
            <w:tcW w:w="0" w:type="auto"/>
            <w:hideMark/>
          </w:tcPr>
          <w:p w14:paraId="55FDE102"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48,201.44</w:t>
            </w:r>
          </w:p>
        </w:tc>
      </w:tr>
      <w:tr w:rsidR="00DF3074" w:rsidRPr="00764985" w14:paraId="50D2D6BC" w14:textId="77777777" w:rsidTr="00342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C25CB" w14:textId="77777777" w:rsidR="00DF3074" w:rsidRPr="00764985" w:rsidRDefault="00DF3074" w:rsidP="00342BAA">
            <w:pPr>
              <w:jc w:val="both"/>
              <w:rPr>
                <w:rFonts w:ascii="Garamond" w:hAnsi="Garamond"/>
              </w:rPr>
            </w:pPr>
            <w:r w:rsidRPr="00764985">
              <w:rPr>
                <w:rFonts w:ascii="Garamond" w:hAnsi="Garamond"/>
              </w:rPr>
              <w:t>BIC</w:t>
            </w:r>
          </w:p>
        </w:tc>
        <w:tc>
          <w:tcPr>
            <w:tcW w:w="0" w:type="auto"/>
            <w:hideMark/>
          </w:tcPr>
          <w:p w14:paraId="7BA2B59C"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48,063.38</w:t>
            </w:r>
          </w:p>
        </w:tc>
        <w:tc>
          <w:tcPr>
            <w:tcW w:w="0" w:type="auto"/>
            <w:hideMark/>
          </w:tcPr>
          <w:p w14:paraId="2C1E0BD9"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47,932.53</w:t>
            </w:r>
          </w:p>
        </w:tc>
        <w:tc>
          <w:tcPr>
            <w:tcW w:w="0" w:type="auto"/>
            <w:hideMark/>
          </w:tcPr>
          <w:p w14:paraId="17B94625"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47,009.65</w:t>
            </w:r>
          </w:p>
        </w:tc>
        <w:tc>
          <w:tcPr>
            <w:tcW w:w="0" w:type="auto"/>
            <w:hideMark/>
          </w:tcPr>
          <w:p w14:paraId="39C4C9C4"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49,088.21</w:t>
            </w:r>
          </w:p>
        </w:tc>
        <w:tc>
          <w:tcPr>
            <w:tcW w:w="0" w:type="auto"/>
            <w:hideMark/>
          </w:tcPr>
          <w:p w14:paraId="4D7D3341"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48,852.10</w:t>
            </w:r>
          </w:p>
        </w:tc>
        <w:tc>
          <w:tcPr>
            <w:tcW w:w="0" w:type="auto"/>
            <w:hideMark/>
          </w:tcPr>
          <w:p w14:paraId="5724104A" w14:textId="77777777" w:rsidR="00DF3074" w:rsidRPr="00764985" w:rsidRDefault="00DF3074" w:rsidP="00342BAA">
            <w:pPr>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764985">
              <w:rPr>
                <w:rFonts w:ascii="Garamond" w:hAnsi="Garamond"/>
              </w:rPr>
              <w:t>48,223.89</w:t>
            </w:r>
          </w:p>
        </w:tc>
      </w:tr>
      <w:tr w:rsidR="00DF3074" w:rsidRPr="00764985" w14:paraId="474691D0" w14:textId="77777777" w:rsidTr="00342BAA">
        <w:tc>
          <w:tcPr>
            <w:cnfStyle w:val="001000000000" w:firstRow="0" w:lastRow="0" w:firstColumn="1" w:lastColumn="0" w:oddVBand="0" w:evenVBand="0" w:oddHBand="0" w:evenHBand="0" w:firstRowFirstColumn="0" w:firstRowLastColumn="0" w:lastRowFirstColumn="0" w:lastRowLastColumn="0"/>
            <w:tcW w:w="0" w:type="auto"/>
            <w:hideMark/>
          </w:tcPr>
          <w:p w14:paraId="4384D0F3" w14:textId="77777777" w:rsidR="00DF3074" w:rsidRPr="00764985" w:rsidRDefault="00DF3074" w:rsidP="00342BAA">
            <w:pPr>
              <w:jc w:val="both"/>
              <w:rPr>
                <w:rFonts w:ascii="Garamond" w:hAnsi="Garamond"/>
              </w:rPr>
            </w:pPr>
            <w:r w:rsidRPr="00764985">
              <w:rPr>
                <w:rFonts w:ascii="Garamond" w:hAnsi="Garamond"/>
              </w:rPr>
              <w:t>N</w:t>
            </w:r>
          </w:p>
        </w:tc>
        <w:tc>
          <w:tcPr>
            <w:tcW w:w="0" w:type="auto"/>
            <w:hideMark/>
          </w:tcPr>
          <w:p w14:paraId="5950CE45"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13,268</w:t>
            </w:r>
          </w:p>
        </w:tc>
        <w:tc>
          <w:tcPr>
            <w:tcW w:w="0" w:type="auto"/>
            <w:hideMark/>
          </w:tcPr>
          <w:p w14:paraId="0C061EA9"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13,268</w:t>
            </w:r>
          </w:p>
        </w:tc>
        <w:tc>
          <w:tcPr>
            <w:tcW w:w="0" w:type="auto"/>
            <w:hideMark/>
          </w:tcPr>
          <w:p w14:paraId="61D2FAF4"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13,171</w:t>
            </w:r>
          </w:p>
        </w:tc>
        <w:tc>
          <w:tcPr>
            <w:tcW w:w="0" w:type="auto"/>
            <w:hideMark/>
          </w:tcPr>
          <w:p w14:paraId="75F2605E"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13,268</w:t>
            </w:r>
          </w:p>
        </w:tc>
        <w:tc>
          <w:tcPr>
            <w:tcW w:w="0" w:type="auto"/>
            <w:hideMark/>
          </w:tcPr>
          <w:p w14:paraId="6E67EE68"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13,268</w:t>
            </w:r>
          </w:p>
        </w:tc>
        <w:tc>
          <w:tcPr>
            <w:tcW w:w="0" w:type="auto"/>
            <w:hideMark/>
          </w:tcPr>
          <w:p w14:paraId="2431FA27" w14:textId="77777777" w:rsidR="00DF3074" w:rsidRPr="00764985" w:rsidRDefault="00DF3074" w:rsidP="00342BA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764985">
              <w:rPr>
                <w:rFonts w:ascii="Garamond" w:hAnsi="Garamond"/>
              </w:rPr>
              <w:t>13,171</w:t>
            </w:r>
          </w:p>
        </w:tc>
      </w:tr>
    </w:tbl>
    <w:p w14:paraId="7954C0EF" w14:textId="77777777" w:rsidR="004540AE" w:rsidRPr="00A35E19" w:rsidRDefault="004540AE" w:rsidP="004540AE">
      <w:pPr>
        <w:spacing w:after="0"/>
        <w:rPr>
          <w:rFonts w:ascii="Garamond" w:hAnsi="Garamond"/>
        </w:rPr>
      </w:pPr>
      <w:r w:rsidRPr="00A35E19">
        <w:rPr>
          <w:rFonts w:ascii="Garamond" w:hAnsi="Garamond"/>
        </w:rPr>
        <w:t>Source: American Violence Project; American Community Survey 201</w:t>
      </w:r>
      <w:r>
        <w:rPr>
          <w:rFonts w:ascii="Garamond" w:hAnsi="Garamond"/>
        </w:rPr>
        <w:t>6</w:t>
      </w:r>
      <w:r w:rsidRPr="00A35E19">
        <w:rPr>
          <w:rFonts w:ascii="Garamond" w:hAnsi="Garamond"/>
        </w:rPr>
        <w:t>-202</w:t>
      </w:r>
      <w:r>
        <w:rPr>
          <w:rFonts w:ascii="Garamond" w:hAnsi="Garamond"/>
        </w:rPr>
        <w:t>0</w:t>
      </w:r>
      <w:r w:rsidRPr="00A35E19">
        <w:rPr>
          <w:rFonts w:ascii="Garamond" w:hAnsi="Garamond"/>
        </w:rPr>
        <w:t xml:space="preserve"> 5-year estimates. </w:t>
      </w:r>
    </w:p>
    <w:p w14:paraId="437A9200" w14:textId="2FAE8DBC" w:rsidR="004540AE" w:rsidRDefault="004540AE" w:rsidP="004540AE">
      <w:pPr>
        <w:spacing w:after="0" w:line="240" w:lineRule="auto"/>
        <w:jc w:val="both"/>
        <w:rPr>
          <w:rFonts w:ascii="Garamond" w:hAnsi="Garamond"/>
        </w:rPr>
      </w:pPr>
      <w:r w:rsidRPr="00764985">
        <w:rPr>
          <w:rFonts w:ascii="Garamond" w:hAnsi="Garamond"/>
        </w:rPr>
        <w:t>Note: Standard errors in parentheses; IRR represents effect of 1-SD increase in predictor</w:t>
      </w:r>
      <w:r>
        <w:rPr>
          <w:rFonts w:ascii="Garamond" w:hAnsi="Garamond"/>
        </w:rPr>
        <w:t xml:space="preserve"> variable</w:t>
      </w:r>
      <w:r w:rsidRPr="00764985">
        <w:rPr>
          <w:rFonts w:ascii="Garamond" w:hAnsi="Garamond"/>
        </w:rPr>
        <w:t xml:space="preserve">. V1 = female-headed households, poverty, public assistance, unemployment; V2 = V1 + education; V3 = V2 + income. </w:t>
      </w:r>
    </w:p>
    <w:p w14:paraId="503FE988" w14:textId="77777777" w:rsidR="004540AE" w:rsidRDefault="004540AE" w:rsidP="004540AE">
      <w:pPr>
        <w:spacing w:after="0" w:line="240" w:lineRule="auto"/>
        <w:jc w:val="both"/>
        <w:rPr>
          <w:rFonts w:ascii="Garamond" w:hAnsi="Garamond"/>
        </w:rPr>
      </w:pPr>
      <w:r w:rsidRPr="00764985">
        <w:rPr>
          <w:rFonts w:ascii="Garamond" w:hAnsi="Garamond"/>
        </w:rPr>
        <w:t>*p&lt;0.05; **p&lt;0.01; **p&lt;0.001</w:t>
      </w:r>
    </w:p>
    <w:p w14:paraId="3EEEF6F3" w14:textId="77777777" w:rsidR="004540AE" w:rsidRDefault="004540AE" w:rsidP="004540AE">
      <w:pPr>
        <w:rPr>
          <w:rFonts w:ascii="Garamond" w:hAnsi="Garamond"/>
        </w:rPr>
      </w:pPr>
      <w:r>
        <w:rPr>
          <w:rFonts w:ascii="Garamond" w:hAnsi="Garamond"/>
        </w:rPr>
        <w:br w:type="page"/>
      </w:r>
    </w:p>
    <w:p w14:paraId="70849B5F" w14:textId="77777777" w:rsidR="004540AE" w:rsidRDefault="004540AE" w:rsidP="004540AE">
      <w:pPr>
        <w:rPr>
          <w:rFonts w:ascii="Garamond" w:hAnsi="Garamond"/>
        </w:rPr>
      </w:pPr>
      <w:r>
        <w:rPr>
          <w:rFonts w:ascii="Garamond" w:hAnsi="Garamond"/>
        </w:rPr>
        <w:lastRenderedPageBreak/>
        <w:t>Appendix 4: Negative Binomial Regression of Firearm Homicide Counts on SVI Composite and Subthemes, and National Level CDI (N = 95 counties)</w:t>
      </w:r>
    </w:p>
    <w:tbl>
      <w:tblPr>
        <w:tblStyle w:val="PlainTable2"/>
        <w:tblW w:w="0" w:type="auto"/>
        <w:tblLook w:val="04A0" w:firstRow="1" w:lastRow="0" w:firstColumn="1" w:lastColumn="0" w:noHBand="0" w:noVBand="1"/>
      </w:tblPr>
      <w:tblGrid>
        <w:gridCol w:w="1083"/>
        <w:gridCol w:w="1305"/>
        <w:gridCol w:w="1849"/>
        <w:gridCol w:w="2126"/>
        <w:gridCol w:w="2944"/>
        <w:gridCol w:w="1310"/>
        <w:gridCol w:w="2343"/>
      </w:tblGrid>
      <w:tr w:rsidR="004540AE" w:rsidRPr="00707336" w14:paraId="280B03FB" w14:textId="77777777" w:rsidTr="00342BA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A497636" w14:textId="77777777" w:rsidR="004540AE" w:rsidRPr="00D42AD7" w:rsidRDefault="004540AE" w:rsidP="00342BAA">
            <w:pPr>
              <w:rPr>
                <w:rFonts w:ascii="Garamond" w:eastAsia="Times New Roman" w:hAnsi="Garamond" w:cs="Times New Roman"/>
                <w:kern w:val="0"/>
                <w:lang w:eastAsia="ko-KR"/>
                <w14:ligatures w14:val="none"/>
              </w:rPr>
            </w:pPr>
          </w:p>
        </w:tc>
        <w:tc>
          <w:tcPr>
            <w:tcW w:w="0" w:type="auto"/>
            <w:gridSpan w:val="5"/>
            <w:vAlign w:val="center"/>
            <w:hideMark/>
          </w:tcPr>
          <w:p w14:paraId="5F48C244" w14:textId="77777777" w:rsidR="004540AE" w:rsidRPr="00D42AD7" w:rsidRDefault="004540AE" w:rsidP="00342BAA">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kern w:val="0"/>
                <w:sz w:val="20"/>
                <w:szCs w:val="20"/>
                <w:lang w:eastAsia="ko-KR"/>
                <w14:ligatures w14:val="none"/>
              </w:rPr>
            </w:pPr>
            <w:r w:rsidRPr="00D42AD7">
              <w:rPr>
                <w:rFonts w:ascii="Garamond" w:eastAsia="Times New Roman" w:hAnsi="Garamond" w:cs="Times New Roman"/>
                <w:color w:val="000000"/>
                <w:kern w:val="0"/>
                <w:sz w:val="22"/>
                <w:szCs w:val="22"/>
                <w:lang w:eastAsia="ko-KR"/>
                <w14:ligatures w14:val="none"/>
              </w:rPr>
              <w:t>Social Vulnerability Index</w:t>
            </w:r>
          </w:p>
        </w:tc>
        <w:tc>
          <w:tcPr>
            <w:tcW w:w="0" w:type="auto"/>
            <w:vAlign w:val="center"/>
            <w:hideMark/>
          </w:tcPr>
          <w:p w14:paraId="0551A3F1" w14:textId="77777777" w:rsidR="004540AE" w:rsidRPr="00D42AD7" w:rsidRDefault="004540AE" w:rsidP="00342BAA">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Concentrated Disadvantage</w:t>
            </w:r>
          </w:p>
        </w:tc>
      </w:tr>
      <w:tr w:rsidR="004540AE" w:rsidRPr="00D42AD7" w14:paraId="6EE38FF2" w14:textId="77777777" w:rsidTr="00342B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9A48D33" w14:textId="77777777" w:rsidR="004540AE" w:rsidRPr="00D42AD7" w:rsidRDefault="004540AE" w:rsidP="00342BAA">
            <w:pPr>
              <w:jc w:val="center"/>
              <w:rPr>
                <w:rFonts w:ascii="Garamond" w:eastAsia="Times New Roman" w:hAnsi="Garamond" w:cs="Times New Roman"/>
                <w:color w:val="000000"/>
                <w:kern w:val="0"/>
                <w:sz w:val="22"/>
                <w:szCs w:val="22"/>
                <w:lang w:eastAsia="ko-KR"/>
                <w14:ligatures w14:val="none"/>
              </w:rPr>
            </w:pPr>
          </w:p>
        </w:tc>
        <w:tc>
          <w:tcPr>
            <w:tcW w:w="0" w:type="auto"/>
            <w:hideMark/>
          </w:tcPr>
          <w:p w14:paraId="48C9AF46"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Theme 1 - SES</w:t>
            </w:r>
          </w:p>
        </w:tc>
        <w:tc>
          <w:tcPr>
            <w:tcW w:w="0" w:type="auto"/>
            <w:hideMark/>
          </w:tcPr>
          <w:p w14:paraId="7C55F0C9"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Theme 2 - Households</w:t>
            </w:r>
          </w:p>
        </w:tc>
        <w:tc>
          <w:tcPr>
            <w:tcW w:w="0" w:type="auto"/>
            <w:hideMark/>
          </w:tcPr>
          <w:p w14:paraId="08033F7E"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Theme 3 - Race/Ethnicity</w:t>
            </w:r>
          </w:p>
        </w:tc>
        <w:tc>
          <w:tcPr>
            <w:tcW w:w="0" w:type="auto"/>
            <w:hideMark/>
          </w:tcPr>
          <w:p w14:paraId="7FA76A9C"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Theme 4 - Housing/Transportation</w:t>
            </w:r>
          </w:p>
        </w:tc>
        <w:tc>
          <w:tcPr>
            <w:tcW w:w="0" w:type="auto"/>
            <w:hideMark/>
          </w:tcPr>
          <w:p w14:paraId="54B1D875"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Composite</w:t>
            </w:r>
          </w:p>
        </w:tc>
        <w:tc>
          <w:tcPr>
            <w:tcW w:w="0" w:type="auto"/>
            <w:hideMark/>
          </w:tcPr>
          <w:p w14:paraId="45C9EF06" w14:textId="77777777" w:rsidR="004540AE" w:rsidRPr="00D42AD7" w:rsidRDefault="004540AE" w:rsidP="00342BAA">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National</w:t>
            </w:r>
          </w:p>
        </w:tc>
      </w:tr>
      <w:tr w:rsidR="004540AE" w:rsidRPr="00D42AD7" w14:paraId="57B438CB" w14:textId="77777777" w:rsidTr="00342BAA">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B161DCB" w14:textId="77777777" w:rsidR="004540AE" w:rsidRPr="00D42AD7" w:rsidRDefault="004540AE" w:rsidP="00342BAA">
            <w:pPr>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IRR</w:t>
            </w:r>
          </w:p>
        </w:tc>
        <w:tc>
          <w:tcPr>
            <w:tcW w:w="0" w:type="auto"/>
            <w:vAlign w:val="center"/>
            <w:hideMark/>
          </w:tcPr>
          <w:p w14:paraId="14D16DDB" w14:textId="77777777" w:rsidR="00D95A63"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 xml:space="preserve">3.45** </w:t>
            </w:r>
          </w:p>
          <w:p w14:paraId="0A81B75C" w14:textId="53523BEA"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(1.53)</w:t>
            </w:r>
          </w:p>
        </w:tc>
        <w:tc>
          <w:tcPr>
            <w:tcW w:w="0" w:type="auto"/>
            <w:vAlign w:val="center"/>
            <w:hideMark/>
          </w:tcPr>
          <w:p w14:paraId="09FC7A4C" w14:textId="77777777" w:rsidR="00D95A63"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 xml:space="preserve">3.52** </w:t>
            </w:r>
          </w:p>
          <w:p w14:paraId="2D640A42" w14:textId="2942FD4F"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(1.46)</w:t>
            </w:r>
          </w:p>
        </w:tc>
        <w:tc>
          <w:tcPr>
            <w:tcW w:w="0" w:type="auto"/>
            <w:vAlign w:val="center"/>
            <w:hideMark/>
          </w:tcPr>
          <w:p w14:paraId="304846E1" w14:textId="77777777" w:rsidR="00D95A63"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 xml:space="preserve">4.17 </w:t>
            </w:r>
          </w:p>
          <w:p w14:paraId="71EA448A" w14:textId="1B052AD1"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(3.43)</w:t>
            </w:r>
          </w:p>
        </w:tc>
        <w:tc>
          <w:tcPr>
            <w:tcW w:w="0" w:type="auto"/>
            <w:vAlign w:val="center"/>
            <w:hideMark/>
          </w:tcPr>
          <w:p w14:paraId="281653EF" w14:textId="77777777" w:rsidR="00D95A63"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 xml:space="preserve">2.85 </w:t>
            </w:r>
          </w:p>
          <w:p w14:paraId="435455AC" w14:textId="3E7BA283"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(1.59)</w:t>
            </w:r>
          </w:p>
        </w:tc>
        <w:tc>
          <w:tcPr>
            <w:tcW w:w="0" w:type="auto"/>
            <w:vAlign w:val="center"/>
            <w:hideMark/>
          </w:tcPr>
          <w:p w14:paraId="156784EC"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7.38*** (3.50)</w:t>
            </w:r>
          </w:p>
        </w:tc>
        <w:tc>
          <w:tcPr>
            <w:tcW w:w="0" w:type="auto"/>
            <w:vAlign w:val="center"/>
            <w:hideMark/>
          </w:tcPr>
          <w:p w14:paraId="174077C2" w14:textId="77777777" w:rsidR="00D95A63"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 xml:space="preserve">1.97*** </w:t>
            </w:r>
          </w:p>
          <w:p w14:paraId="3F63189E" w14:textId="6DE22208"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(0.18)</w:t>
            </w:r>
          </w:p>
        </w:tc>
      </w:tr>
      <w:tr w:rsidR="004540AE" w:rsidRPr="00D42AD7" w14:paraId="5BC1CF2C" w14:textId="77777777" w:rsidTr="00342B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F3A3F4" w14:textId="77777777" w:rsidR="004540AE" w:rsidRPr="00D42AD7" w:rsidRDefault="004540AE" w:rsidP="00342BAA">
            <w:pPr>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Pseudo R²</w:t>
            </w:r>
          </w:p>
        </w:tc>
        <w:tc>
          <w:tcPr>
            <w:tcW w:w="0" w:type="auto"/>
            <w:vAlign w:val="center"/>
            <w:hideMark/>
          </w:tcPr>
          <w:p w14:paraId="18E5AA2D"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0.01</w:t>
            </w:r>
          </w:p>
        </w:tc>
        <w:tc>
          <w:tcPr>
            <w:tcW w:w="0" w:type="auto"/>
            <w:vAlign w:val="center"/>
            <w:hideMark/>
          </w:tcPr>
          <w:p w14:paraId="3DBE2E5B"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0.01</w:t>
            </w:r>
          </w:p>
        </w:tc>
        <w:tc>
          <w:tcPr>
            <w:tcW w:w="0" w:type="auto"/>
            <w:vAlign w:val="center"/>
            <w:hideMark/>
          </w:tcPr>
          <w:p w14:paraId="440520C4"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w:t>
            </w:r>
            <w:r>
              <w:rPr>
                <w:rFonts w:ascii="Garamond" w:eastAsia="Times New Roman" w:hAnsi="Garamond" w:cs="Times New Roman"/>
                <w:color w:val="000000"/>
                <w:kern w:val="0"/>
                <w:sz w:val="22"/>
                <w:szCs w:val="22"/>
                <w:lang w:eastAsia="ko-KR"/>
                <w14:ligatures w14:val="none"/>
              </w:rPr>
              <w:t>.01</w:t>
            </w:r>
          </w:p>
        </w:tc>
        <w:tc>
          <w:tcPr>
            <w:tcW w:w="0" w:type="auto"/>
            <w:vAlign w:val="center"/>
            <w:hideMark/>
          </w:tcPr>
          <w:p w14:paraId="13C6D287"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w:t>
            </w:r>
            <w:r>
              <w:rPr>
                <w:rFonts w:ascii="Garamond" w:eastAsia="Times New Roman" w:hAnsi="Garamond" w:cs="Times New Roman"/>
                <w:color w:val="000000"/>
                <w:kern w:val="0"/>
                <w:sz w:val="22"/>
                <w:szCs w:val="22"/>
                <w:lang w:eastAsia="ko-KR"/>
                <w14:ligatures w14:val="none"/>
              </w:rPr>
              <w:t>.01</w:t>
            </w:r>
          </w:p>
        </w:tc>
        <w:tc>
          <w:tcPr>
            <w:tcW w:w="0" w:type="auto"/>
            <w:vAlign w:val="center"/>
            <w:hideMark/>
          </w:tcPr>
          <w:p w14:paraId="4D8737EB"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0.01</w:t>
            </w:r>
          </w:p>
        </w:tc>
        <w:tc>
          <w:tcPr>
            <w:tcW w:w="0" w:type="auto"/>
            <w:vAlign w:val="center"/>
            <w:hideMark/>
          </w:tcPr>
          <w:p w14:paraId="57791906"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0.04</w:t>
            </w:r>
          </w:p>
        </w:tc>
      </w:tr>
      <w:tr w:rsidR="004540AE" w:rsidRPr="00D42AD7" w14:paraId="6C1CF056" w14:textId="77777777" w:rsidTr="00342BAA">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535BC94" w14:textId="77777777" w:rsidR="004540AE" w:rsidRPr="00D42AD7" w:rsidRDefault="004540AE" w:rsidP="00342BAA">
            <w:pPr>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AIC</w:t>
            </w:r>
          </w:p>
        </w:tc>
        <w:tc>
          <w:tcPr>
            <w:tcW w:w="0" w:type="auto"/>
            <w:vAlign w:val="center"/>
            <w:hideMark/>
          </w:tcPr>
          <w:p w14:paraId="69903B53"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1,189.16</w:t>
            </w:r>
          </w:p>
        </w:tc>
        <w:tc>
          <w:tcPr>
            <w:tcW w:w="0" w:type="auto"/>
            <w:vAlign w:val="center"/>
            <w:hideMark/>
          </w:tcPr>
          <w:p w14:paraId="5D40DCE1"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1,188.52</w:t>
            </w:r>
          </w:p>
        </w:tc>
        <w:tc>
          <w:tcPr>
            <w:tcW w:w="0" w:type="auto"/>
            <w:vAlign w:val="center"/>
            <w:hideMark/>
          </w:tcPr>
          <w:p w14:paraId="1C669C00"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1,194.67</w:t>
            </w:r>
          </w:p>
        </w:tc>
        <w:tc>
          <w:tcPr>
            <w:tcW w:w="0" w:type="auto"/>
            <w:vAlign w:val="center"/>
            <w:hideMark/>
          </w:tcPr>
          <w:p w14:paraId="277B73EF"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1,194.28</w:t>
            </w:r>
          </w:p>
        </w:tc>
        <w:tc>
          <w:tcPr>
            <w:tcW w:w="0" w:type="auto"/>
            <w:vAlign w:val="center"/>
            <w:hideMark/>
          </w:tcPr>
          <w:p w14:paraId="461B59B0"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1,182.79</w:t>
            </w:r>
          </w:p>
        </w:tc>
        <w:tc>
          <w:tcPr>
            <w:tcW w:w="0" w:type="auto"/>
            <w:vAlign w:val="center"/>
            <w:hideMark/>
          </w:tcPr>
          <w:p w14:paraId="224C81D1"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1,147.94</w:t>
            </w:r>
          </w:p>
        </w:tc>
      </w:tr>
      <w:tr w:rsidR="004540AE" w:rsidRPr="00D42AD7" w14:paraId="2D8A0599" w14:textId="77777777" w:rsidTr="00342BA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D3D0309" w14:textId="77777777" w:rsidR="004540AE" w:rsidRPr="00D42AD7" w:rsidRDefault="004540AE" w:rsidP="00342BAA">
            <w:pPr>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BIC</w:t>
            </w:r>
          </w:p>
        </w:tc>
        <w:tc>
          <w:tcPr>
            <w:tcW w:w="0" w:type="auto"/>
            <w:vAlign w:val="center"/>
            <w:hideMark/>
          </w:tcPr>
          <w:p w14:paraId="18AA4A69"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1,196.82</w:t>
            </w:r>
          </w:p>
        </w:tc>
        <w:tc>
          <w:tcPr>
            <w:tcW w:w="0" w:type="auto"/>
            <w:vAlign w:val="center"/>
            <w:hideMark/>
          </w:tcPr>
          <w:p w14:paraId="57F56553"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1,196.18</w:t>
            </w:r>
          </w:p>
        </w:tc>
        <w:tc>
          <w:tcPr>
            <w:tcW w:w="0" w:type="auto"/>
            <w:vAlign w:val="center"/>
            <w:hideMark/>
          </w:tcPr>
          <w:p w14:paraId="7C3D106B"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1,202.33</w:t>
            </w:r>
          </w:p>
        </w:tc>
        <w:tc>
          <w:tcPr>
            <w:tcW w:w="0" w:type="auto"/>
            <w:vAlign w:val="center"/>
            <w:hideMark/>
          </w:tcPr>
          <w:p w14:paraId="4DABCEF5"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1,201.94</w:t>
            </w:r>
          </w:p>
        </w:tc>
        <w:tc>
          <w:tcPr>
            <w:tcW w:w="0" w:type="auto"/>
            <w:vAlign w:val="center"/>
            <w:hideMark/>
          </w:tcPr>
          <w:p w14:paraId="532F7108"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1,190.45</w:t>
            </w:r>
          </w:p>
        </w:tc>
        <w:tc>
          <w:tcPr>
            <w:tcW w:w="0" w:type="auto"/>
            <w:vAlign w:val="center"/>
            <w:hideMark/>
          </w:tcPr>
          <w:p w14:paraId="5E102C8D" w14:textId="77777777" w:rsidR="004540AE" w:rsidRPr="00D42AD7" w:rsidRDefault="004540AE" w:rsidP="00342BAA">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1,155.61</w:t>
            </w:r>
          </w:p>
        </w:tc>
      </w:tr>
      <w:tr w:rsidR="004540AE" w:rsidRPr="00D42AD7" w14:paraId="453ACA44" w14:textId="77777777" w:rsidTr="00342BAA">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3059966" w14:textId="77777777" w:rsidR="004540AE" w:rsidRPr="00D42AD7" w:rsidRDefault="004540AE" w:rsidP="00342BAA">
            <w:pPr>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N</w:t>
            </w:r>
          </w:p>
        </w:tc>
        <w:tc>
          <w:tcPr>
            <w:tcW w:w="0" w:type="auto"/>
            <w:vAlign w:val="center"/>
            <w:hideMark/>
          </w:tcPr>
          <w:p w14:paraId="28DA973A"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c>
          <w:tcPr>
            <w:tcW w:w="0" w:type="auto"/>
            <w:vAlign w:val="center"/>
            <w:hideMark/>
          </w:tcPr>
          <w:p w14:paraId="64E8563F"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c>
          <w:tcPr>
            <w:tcW w:w="0" w:type="auto"/>
            <w:vAlign w:val="center"/>
            <w:hideMark/>
          </w:tcPr>
          <w:p w14:paraId="4041A859"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c>
          <w:tcPr>
            <w:tcW w:w="0" w:type="auto"/>
            <w:vAlign w:val="center"/>
            <w:hideMark/>
          </w:tcPr>
          <w:p w14:paraId="31E422AB"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c>
          <w:tcPr>
            <w:tcW w:w="0" w:type="auto"/>
            <w:vAlign w:val="center"/>
            <w:hideMark/>
          </w:tcPr>
          <w:p w14:paraId="1812C6C7"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c>
          <w:tcPr>
            <w:tcW w:w="0" w:type="auto"/>
            <w:vAlign w:val="center"/>
            <w:hideMark/>
          </w:tcPr>
          <w:p w14:paraId="23606CCD" w14:textId="77777777" w:rsidR="004540AE" w:rsidRPr="00D42AD7" w:rsidRDefault="004540AE" w:rsidP="00342BAA">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kern w:val="0"/>
                <w:sz w:val="22"/>
                <w:szCs w:val="22"/>
                <w:lang w:eastAsia="ko-KR"/>
                <w14:ligatures w14:val="none"/>
              </w:rPr>
            </w:pPr>
            <w:r w:rsidRPr="00D42AD7">
              <w:rPr>
                <w:rFonts w:ascii="Garamond" w:eastAsia="Times New Roman" w:hAnsi="Garamond" w:cs="Times New Roman"/>
                <w:color w:val="000000"/>
                <w:kern w:val="0"/>
                <w:sz w:val="22"/>
                <w:szCs w:val="22"/>
                <w:lang w:eastAsia="ko-KR"/>
                <w14:ligatures w14:val="none"/>
              </w:rPr>
              <w:t>95</w:t>
            </w:r>
          </w:p>
        </w:tc>
      </w:tr>
    </w:tbl>
    <w:p w14:paraId="7B6E6BB7" w14:textId="77777777" w:rsidR="004540AE" w:rsidRDefault="004540AE" w:rsidP="004540AE">
      <w:pPr>
        <w:spacing w:after="0" w:line="240" w:lineRule="auto"/>
        <w:jc w:val="both"/>
        <w:rPr>
          <w:rFonts w:ascii="Garamond" w:hAnsi="Garamond"/>
        </w:rPr>
      </w:pPr>
    </w:p>
    <w:p w14:paraId="56274397" w14:textId="77777777" w:rsidR="004540AE" w:rsidRDefault="004540AE" w:rsidP="004540AE">
      <w:pPr>
        <w:spacing w:after="0" w:line="240" w:lineRule="auto"/>
        <w:jc w:val="both"/>
        <w:rPr>
          <w:rFonts w:ascii="Garamond" w:hAnsi="Garamond"/>
        </w:rPr>
      </w:pPr>
      <w:r w:rsidRPr="00707336">
        <w:rPr>
          <w:rFonts w:ascii="Garamond" w:hAnsi="Garamond"/>
        </w:rPr>
        <w:t xml:space="preserve">Source: American Violence Project; American Community Survey 2018-2022 5-year estimates; CDC Social Vulnerability Index </w:t>
      </w:r>
    </w:p>
    <w:p w14:paraId="3B58D84A" w14:textId="77777777" w:rsidR="004540AE" w:rsidRDefault="004540AE" w:rsidP="004540AE">
      <w:pPr>
        <w:spacing w:after="0" w:line="240" w:lineRule="auto"/>
        <w:jc w:val="both"/>
        <w:rPr>
          <w:rFonts w:ascii="Garamond" w:hAnsi="Garamond"/>
        </w:rPr>
      </w:pPr>
      <w:r w:rsidRPr="00707336">
        <w:rPr>
          <w:rFonts w:ascii="Garamond" w:hAnsi="Garamond"/>
        </w:rPr>
        <w:t xml:space="preserve">Notes: Standard errors in parentheses; county-level robustness check (N = 95 counties) </w:t>
      </w:r>
    </w:p>
    <w:p w14:paraId="5A6E5FF4" w14:textId="77777777" w:rsidR="004540AE" w:rsidRDefault="004540AE" w:rsidP="004540AE">
      <w:pPr>
        <w:spacing w:after="0" w:line="240" w:lineRule="auto"/>
        <w:jc w:val="both"/>
        <w:rPr>
          <w:rFonts w:ascii="Garamond" w:hAnsi="Garamond"/>
        </w:rPr>
      </w:pPr>
      <w:r w:rsidRPr="00707336">
        <w:rPr>
          <w:rFonts w:ascii="Garamond" w:hAnsi="Garamond"/>
        </w:rPr>
        <w:t>*p&lt;0.05; **p&lt;0.01; **p&lt;0.001</w:t>
      </w:r>
    </w:p>
    <w:p w14:paraId="57640202" w14:textId="77777777" w:rsidR="004540AE" w:rsidRDefault="004540AE" w:rsidP="004540AE">
      <w:pPr>
        <w:rPr>
          <w:rFonts w:ascii="Garamond" w:hAnsi="Garamond"/>
        </w:rPr>
      </w:pPr>
      <w:r>
        <w:rPr>
          <w:rFonts w:ascii="Garamond" w:hAnsi="Garamond"/>
        </w:rPr>
        <w:br w:type="page"/>
      </w:r>
    </w:p>
    <w:p w14:paraId="6ECB2B14" w14:textId="51532A1F" w:rsidR="008918A0" w:rsidRPr="00B529D2" w:rsidRDefault="008918A0" w:rsidP="008918A0">
      <w:pPr>
        <w:spacing w:after="0" w:line="240" w:lineRule="auto"/>
        <w:jc w:val="both"/>
        <w:rPr>
          <w:rFonts w:ascii="Garamond" w:hAnsi="Garamond"/>
        </w:rPr>
      </w:pPr>
    </w:p>
    <w:sectPr w:rsidR="008918A0" w:rsidRPr="00B529D2" w:rsidSect="0029435F">
      <w:footerReference w:type="defaul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89511" w14:textId="77777777" w:rsidR="00DD08FA" w:rsidRDefault="00DD08FA" w:rsidP="00566250">
      <w:pPr>
        <w:spacing w:after="0" w:line="240" w:lineRule="auto"/>
      </w:pPr>
      <w:r>
        <w:separator/>
      </w:r>
    </w:p>
  </w:endnote>
  <w:endnote w:type="continuationSeparator" w:id="0">
    <w:p w14:paraId="1B79CD78" w14:textId="77777777" w:rsidR="00DD08FA" w:rsidRDefault="00DD08FA" w:rsidP="00566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772348992"/>
      <w:docPartObj>
        <w:docPartGallery w:val="Page Numbers (Bottom of Page)"/>
        <w:docPartUnique/>
      </w:docPartObj>
    </w:sdtPr>
    <w:sdtEndPr>
      <w:rPr>
        <w:noProof/>
      </w:rPr>
    </w:sdtEndPr>
    <w:sdtContent>
      <w:p w14:paraId="504687BA" w14:textId="77777777" w:rsidR="004540AE" w:rsidRPr="00206E8A" w:rsidRDefault="004540AE">
        <w:pPr>
          <w:pStyle w:val="Footer"/>
          <w:jc w:val="center"/>
          <w:rPr>
            <w:rFonts w:ascii="Garamond" w:hAnsi="Garamond"/>
          </w:rPr>
        </w:pPr>
        <w:r w:rsidRPr="00206E8A">
          <w:rPr>
            <w:rFonts w:ascii="Garamond" w:hAnsi="Garamond"/>
          </w:rPr>
          <w:fldChar w:fldCharType="begin"/>
        </w:r>
        <w:r w:rsidRPr="00206E8A">
          <w:rPr>
            <w:rFonts w:ascii="Garamond" w:hAnsi="Garamond"/>
          </w:rPr>
          <w:instrText xml:space="preserve"> PAGE   \* MERGEFORMAT </w:instrText>
        </w:r>
        <w:r w:rsidRPr="00206E8A">
          <w:rPr>
            <w:rFonts w:ascii="Garamond" w:hAnsi="Garamond"/>
          </w:rPr>
          <w:fldChar w:fldCharType="separate"/>
        </w:r>
        <w:r w:rsidRPr="00206E8A">
          <w:rPr>
            <w:rFonts w:ascii="Garamond" w:hAnsi="Garamond"/>
            <w:noProof/>
          </w:rPr>
          <w:t>2</w:t>
        </w:r>
        <w:r w:rsidRPr="00206E8A">
          <w:rPr>
            <w:rFonts w:ascii="Garamond" w:hAnsi="Garamond"/>
            <w:noProof/>
          </w:rPr>
          <w:fldChar w:fldCharType="end"/>
        </w:r>
      </w:p>
    </w:sdtContent>
  </w:sdt>
  <w:p w14:paraId="3CD1CEC0" w14:textId="77777777" w:rsidR="004540AE" w:rsidRDefault="00454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72746293"/>
      <w:docPartObj>
        <w:docPartGallery w:val="Page Numbers (Bottom of Page)"/>
        <w:docPartUnique/>
      </w:docPartObj>
    </w:sdtPr>
    <w:sdtEndPr>
      <w:rPr>
        <w:noProof/>
      </w:rPr>
    </w:sdtEndPr>
    <w:sdtContent>
      <w:p w14:paraId="59F0007E" w14:textId="77777777" w:rsidR="004540AE" w:rsidRPr="00566250" w:rsidRDefault="004540AE">
        <w:pPr>
          <w:pStyle w:val="Footer"/>
          <w:jc w:val="center"/>
          <w:rPr>
            <w:rFonts w:ascii="Garamond" w:hAnsi="Garamond"/>
          </w:rPr>
        </w:pPr>
        <w:r w:rsidRPr="00566250">
          <w:rPr>
            <w:rFonts w:ascii="Garamond" w:hAnsi="Garamond"/>
          </w:rPr>
          <w:fldChar w:fldCharType="begin"/>
        </w:r>
        <w:r w:rsidRPr="00566250">
          <w:rPr>
            <w:rFonts w:ascii="Garamond" w:hAnsi="Garamond"/>
          </w:rPr>
          <w:instrText xml:space="preserve"> PAGE   \* MERGEFORMAT </w:instrText>
        </w:r>
        <w:r w:rsidRPr="00566250">
          <w:rPr>
            <w:rFonts w:ascii="Garamond" w:hAnsi="Garamond"/>
          </w:rPr>
          <w:fldChar w:fldCharType="separate"/>
        </w:r>
        <w:r w:rsidRPr="00566250">
          <w:rPr>
            <w:rFonts w:ascii="Garamond" w:hAnsi="Garamond"/>
            <w:noProof/>
          </w:rPr>
          <w:t>2</w:t>
        </w:r>
        <w:r w:rsidRPr="00566250">
          <w:rPr>
            <w:rFonts w:ascii="Garamond" w:hAnsi="Garamond"/>
            <w:noProof/>
          </w:rPr>
          <w:fldChar w:fldCharType="end"/>
        </w:r>
      </w:p>
    </w:sdtContent>
  </w:sdt>
  <w:p w14:paraId="674FB71D" w14:textId="77777777" w:rsidR="004540AE" w:rsidRDefault="004540AE">
    <w:pPr>
      <w:pStyle w:val="Footer"/>
    </w:pPr>
  </w:p>
  <w:p w14:paraId="7830CF77" w14:textId="77777777" w:rsidR="004540AE" w:rsidRDefault="004540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263391073"/>
      <w:docPartObj>
        <w:docPartGallery w:val="Page Numbers (Bottom of Page)"/>
        <w:docPartUnique/>
      </w:docPartObj>
    </w:sdtPr>
    <w:sdtEndPr>
      <w:rPr>
        <w:noProof/>
      </w:rPr>
    </w:sdtEndPr>
    <w:sdtContent>
      <w:p w14:paraId="4D9C9F5C" w14:textId="66FFF15F" w:rsidR="00566250" w:rsidRPr="00566250" w:rsidRDefault="00566250">
        <w:pPr>
          <w:pStyle w:val="Footer"/>
          <w:jc w:val="center"/>
          <w:rPr>
            <w:rFonts w:ascii="Garamond" w:hAnsi="Garamond"/>
          </w:rPr>
        </w:pPr>
        <w:r w:rsidRPr="00566250">
          <w:rPr>
            <w:rFonts w:ascii="Garamond" w:hAnsi="Garamond"/>
          </w:rPr>
          <w:fldChar w:fldCharType="begin"/>
        </w:r>
        <w:r w:rsidRPr="00566250">
          <w:rPr>
            <w:rFonts w:ascii="Garamond" w:hAnsi="Garamond"/>
          </w:rPr>
          <w:instrText xml:space="preserve"> PAGE   \* MERGEFORMAT </w:instrText>
        </w:r>
        <w:r w:rsidRPr="00566250">
          <w:rPr>
            <w:rFonts w:ascii="Garamond" w:hAnsi="Garamond"/>
          </w:rPr>
          <w:fldChar w:fldCharType="separate"/>
        </w:r>
        <w:r w:rsidRPr="00566250">
          <w:rPr>
            <w:rFonts w:ascii="Garamond" w:hAnsi="Garamond"/>
            <w:noProof/>
          </w:rPr>
          <w:t>2</w:t>
        </w:r>
        <w:r w:rsidRPr="00566250">
          <w:rPr>
            <w:rFonts w:ascii="Garamond" w:hAnsi="Garamond"/>
            <w:noProof/>
          </w:rPr>
          <w:fldChar w:fldCharType="end"/>
        </w:r>
      </w:p>
    </w:sdtContent>
  </w:sdt>
  <w:p w14:paraId="33572D82" w14:textId="77777777" w:rsidR="00566250" w:rsidRDefault="00566250">
    <w:pPr>
      <w:pStyle w:val="Footer"/>
    </w:pPr>
  </w:p>
  <w:p w14:paraId="319F941D" w14:textId="77777777" w:rsidR="00566250" w:rsidRDefault="00566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A0E9C" w14:textId="77777777" w:rsidR="00DD08FA" w:rsidRDefault="00DD08FA" w:rsidP="00566250">
      <w:pPr>
        <w:spacing w:after="0" w:line="240" w:lineRule="auto"/>
      </w:pPr>
      <w:r>
        <w:separator/>
      </w:r>
    </w:p>
  </w:footnote>
  <w:footnote w:type="continuationSeparator" w:id="0">
    <w:p w14:paraId="0FF5CCC7" w14:textId="77777777" w:rsidR="00DD08FA" w:rsidRDefault="00DD08FA" w:rsidP="00566250">
      <w:pPr>
        <w:spacing w:after="0" w:line="240" w:lineRule="auto"/>
      </w:pPr>
      <w:r>
        <w:continuationSeparator/>
      </w:r>
    </w:p>
  </w:footnote>
  <w:footnote w:id="1">
    <w:p w14:paraId="095E805E" w14:textId="4C649E79" w:rsidR="002004B0" w:rsidRPr="00D95A63" w:rsidRDefault="002004B0" w:rsidP="002004B0">
      <w:pPr>
        <w:spacing w:after="0" w:line="240" w:lineRule="auto"/>
        <w:jc w:val="both"/>
        <w:rPr>
          <w:rFonts w:ascii="Garamond" w:hAnsi="Garamond"/>
          <w:sz w:val="22"/>
          <w:szCs w:val="22"/>
        </w:rPr>
      </w:pPr>
      <w:r w:rsidRPr="00D95A63">
        <w:rPr>
          <w:rStyle w:val="FootnoteReference"/>
          <w:rFonts w:ascii="Garamond" w:hAnsi="Garamond"/>
          <w:sz w:val="22"/>
          <w:szCs w:val="22"/>
        </w:rPr>
        <w:footnoteRef/>
      </w:r>
      <w:r w:rsidRPr="00D95A63">
        <w:rPr>
          <w:rFonts w:ascii="Garamond" w:hAnsi="Garamond"/>
          <w:sz w:val="22"/>
          <w:szCs w:val="22"/>
        </w:rPr>
        <w:t xml:space="preserve"> Indeed, some of these items capture dimensions of social cohesion, resource access, or institutional connectedness that are known to buffer against violence under certain conditions. </w:t>
      </w:r>
      <w:r w:rsidR="00F85EA7">
        <w:rPr>
          <w:rFonts w:ascii="Garamond" w:hAnsi="Garamond"/>
          <w:sz w:val="22"/>
          <w:szCs w:val="22"/>
        </w:rPr>
        <w:t>As such, we</w:t>
      </w:r>
      <w:r w:rsidRPr="00D95A63">
        <w:rPr>
          <w:rFonts w:ascii="Garamond" w:hAnsi="Garamond"/>
          <w:sz w:val="22"/>
          <w:szCs w:val="22"/>
        </w:rPr>
        <w:t xml:space="preserve"> </w:t>
      </w:r>
      <w:r>
        <w:rPr>
          <w:rFonts w:ascii="Garamond" w:hAnsi="Garamond"/>
          <w:sz w:val="22"/>
          <w:szCs w:val="22"/>
        </w:rPr>
        <w:t>do not</w:t>
      </w:r>
      <w:r w:rsidRPr="00D95A63">
        <w:rPr>
          <w:rFonts w:ascii="Garamond" w:hAnsi="Garamond"/>
          <w:sz w:val="22"/>
          <w:szCs w:val="22"/>
        </w:rPr>
        <w:t xml:space="preserve"> assume conceptual equivalence between the SVI and concentrated disadvantage but instead evaluate the extent to which the SVI reproduces, overlaps with, or diverges from established measures of concentrated disadvantage in explaining firearm violence.</w:t>
      </w:r>
    </w:p>
    <w:p w14:paraId="096F4EF3" w14:textId="77777777" w:rsidR="002004B0" w:rsidRPr="00D95A63" w:rsidRDefault="002004B0" w:rsidP="002004B0">
      <w:pPr>
        <w:spacing w:after="0" w:line="240" w:lineRule="auto"/>
        <w:jc w:val="both"/>
        <w:rPr>
          <w:rFonts w:ascii="Garamond" w:hAnsi="Garamond"/>
          <w:sz w:val="22"/>
          <w:szCs w:val="22"/>
        </w:rPr>
      </w:pPr>
    </w:p>
    <w:p w14:paraId="0E34679E" w14:textId="77777777" w:rsidR="002004B0" w:rsidRDefault="002004B0" w:rsidP="002004B0">
      <w:pPr>
        <w:pStyle w:val="FootnoteText"/>
      </w:pPr>
    </w:p>
  </w:footnote>
  <w:footnote w:id="2">
    <w:p w14:paraId="6F19F9E0" w14:textId="63705571" w:rsidR="00EF6B4B" w:rsidRPr="00EF6B4B" w:rsidRDefault="00EF6B4B">
      <w:pPr>
        <w:pStyle w:val="FootnoteText"/>
        <w:rPr>
          <w:rFonts w:ascii="Garamond" w:hAnsi="Garamond"/>
        </w:rPr>
      </w:pPr>
      <w:r w:rsidRPr="00EF6B4B">
        <w:rPr>
          <w:rStyle w:val="FootnoteReference"/>
          <w:rFonts w:ascii="Garamond" w:hAnsi="Garamond"/>
        </w:rPr>
        <w:footnoteRef/>
      </w:r>
      <w:r w:rsidRPr="00EF6B4B">
        <w:rPr>
          <w:rFonts w:ascii="Garamond" w:hAnsi="Garamond"/>
        </w:rPr>
        <w:t xml:space="preserve"> Although the SVI is available at multiple levels of geographic aggregation, including counties</w:t>
      </w:r>
      <w:r w:rsidR="00784BE1">
        <w:rPr>
          <w:rFonts w:ascii="Garamond" w:hAnsi="Garamond"/>
        </w:rPr>
        <w:t xml:space="preserve">, zip </w:t>
      </w:r>
      <w:r w:rsidR="007549EC">
        <w:rPr>
          <w:rFonts w:ascii="Garamond" w:hAnsi="Garamond"/>
        </w:rPr>
        <w:t xml:space="preserve">codes, </w:t>
      </w:r>
      <w:r w:rsidR="007549EC" w:rsidRPr="00EF6B4B">
        <w:rPr>
          <w:rFonts w:ascii="Garamond" w:hAnsi="Garamond"/>
        </w:rPr>
        <w:t>and</w:t>
      </w:r>
      <w:r w:rsidRPr="00EF6B4B">
        <w:rPr>
          <w:rFonts w:ascii="Garamond" w:hAnsi="Garamond"/>
        </w:rPr>
        <w:t xml:space="preserve"> census tracts, the tract-level version is </w:t>
      </w:r>
      <w:proofErr w:type="gramStart"/>
      <w:r w:rsidRPr="00EF6B4B">
        <w:rPr>
          <w:rFonts w:ascii="Garamond" w:hAnsi="Garamond"/>
        </w:rPr>
        <w:t>most commonly used</w:t>
      </w:r>
      <w:proofErr w:type="gramEnd"/>
      <w:r w:rsidRPr="00EF6B4B">
        <w:rPr>
          <w:rFonts w:ascii="Garamond" w:hAnsi="Garamond"/>
        </w:rPr>
        <w:t xml:space="preserve"> in neighborhood firearm violence research because it </w:t>
      </w:r>
      <w:r w:rsidR="00067805">
        <w:rPr>
          <w:rFonts w:ascii="Garamond" w:hAnsi="Garamond"/>
        </w:rPr>
        <w:t>is the most</w:t>
      </w:r>
      <w:r w:rsidR="00AE6331">
        <w:rPr>
          <w:rFonts w:ascii="Garamond" w:hAnsi="Garamond"/>
        </w:rPr>
        <w:t xml:space="preserve"> granular </w:t>
      </w:r>
      <w:r w:rsidRPr="00EF6B4B">
        <w:rPr>
          <w:rFonts w:ascii="Garamond" w:hAnsi="Garamond"/>
        </w:rPr>
        <w:t>measure of local community conditions</w:t>
      </w:r>
      <w:r w:rsidR="00067805">
        <w:rPr>
          <w:rFonts w:ascii="Garamond" w:hAnsi="Garamond"/>
        </w:rPr>
        <w:t xml:space="preserve"> available</w:t>
      </w:r>
      <w:r w:rsidRPr="00EF6B4B">
        <w:rPr>
          <w:rFonts w:ascii="Garamond" w:hAnsi="Garamond"/>
        </w:rPr>
        <w:t>.</w:t>
      </w:r>
      <w:r>
        <w:rPr>
          <w:rFonts w:ascii="Garamond" w:hAnsi="Garamond"/>
        </w:rPr>
        <w:t xml:space="preserve"> </w:t>
      </w:r>
      <w:r w:rsidRPr="00EF6B4B">
        <w:rPr>
          <w:rFonts w:ascii="Garamond" w:hAnsi="Garamond" w:cs="Times New Roman"/>
        </w:rPr>
        <w:t xml:space="preserve">As such, our </w:t>
      </w:r>
      <w:r>
        <w:rPr>
          <w:rFonts w:ascii="Garamond" w:hAnsi="Garamond" w:cs="Times New Roman"/>
        </w:rPr>
        <w:t>discussion of the</w:t>
      </w:r>
      <w:r w:rsidRPr="00EF6B4B">
        <w:rPr>
          <w:rFonts w:ascii="Garamond" w:hAnsi="Garamond" w:cs="Times New Roman"/>
        </w:rPr>
        <w:t xml:space="preserve"> tract-level</w:t>
      </w:r>
      <w:r>
        <w:rPr>
          <w:rFonts w:ascii="Garamond" w:hAnsi="Garamond" w:cs="Times New Roman"/>
        </w:rPr>
        <w:t xml:space="preserve"> measurement of SVI</w:t>
      </w:r>
      <w:r w:rsidRPr="00EF6B4B">
        <w:rPr>
          <w:rFonts w:ascii="Garamond" w:hAnsi="Garamond" w:cs="Times New Roman"/>
        </w:rPr>
        <w:t xml:space="preserve"> is </w:t>
      </w:r>
      <w:r>
        <w:rPr>
          <w:rFonts w:ascii="Garamond" w:hAnsi="Garamond" w:cs="Times New Roman"/>
        </w:rPr>
        <w:t>in line</w:t>
      </w:r>
      <w:r w:rsidRPr="00EF6B4B">
        <w:rPr>
          <w:rFonts w:ascii="Garamond" w:hAnsi="Garamond" w:cs="Times New Roman"/>
        </w:rPr>
        <w:t xml:space="preserve"> with both its intended design and </w:t>
      </w:r>
      <w:r w:rsidR="00067805">
        <w:rPr>
          <w:rFonts w:ascii="Garamond" w:hAnsi="Garamond" w:cs="Times New Roman"/>
        </w:rPr>
        <w:t>common</w:t>
      </w:r>
      <w:r w:rsidRPr="00EF6B4B">
        <w:rPr>
          <w:rFonts w:ascii="Garamond" w:hAnsi="Garamond" w:cs="Times New Roman"/>
        </w:rPr>
        <w:t xml:space="preserve"> </w:t>
      </w:r>
      <w:r w:rsidR="009A0CAB">
        <w:rPr>
          <w:rFonts w:ascii="Garamond" w:hAnsi="Garamond" w:cs="Times New Roman"/>
        </w:rPr>
        <w:t>application</w:t>
      </w:r>
      <w:r w:rsidRPr="00EF6B4B">
        <w:rPr>
          <w:rFonts w:ascii="Garamond" w:hAnsi="Garamond" w:cs="Times New Roman"/>
        </w:rPr>
        <w:t xml:space="preserve"> in this area of research.</w:t>
      </w:r>
    </w:p>
  </w:footnote>
  <w:footnote w:id="3">
    <w:p w14:paraId="2E9DC397" w14:textId="5B5FDB07" w:rsidR="00876B22" w:rsidRPr="00674BC4" w:rsidRDefault="00876B22">
      <w:pPr>
        <w:pStyle w:val="FootnoteText"/>
        <w:rPr>
          <w:rFonts w:ascii="Garamond" w:hAnsi="Garamond"/>
        </w:rPr>
      </w:pPr>
      <w:r w:rsidRPr="00674BC4">
        <w:rPr>
          <w:rStyle w:val="FootnoteReference"/>
          <w:rFonts w:ascii="Garamond" w:hAnsi="Garamond"/>
        </w:rPr>
        <w:footnoteRef/>
      </w:r>
      <w:r w:rsidRPr="00674BC4">
        <w:rPr>
          <w:rFonts w:ascii="Garamond" w:hAnsi="Garamond"/>
        </w:rPr>
        <w:t xml:space="preserve"> </w:t>
      </w:r>
      <w:hyperlink r:id="rId1" w:history="1">
        <w:r w:rsidR="00833636" w:rsidRPr="00035070">
          <w:rPr>
            <w:rStyle w:val="Hyperlink"/>
            <w:rFonts w:ascii="Garamond" w:hAnsi="Garamond"/>
          </w:rPr>
          <w:t>https://www.atsdr.cdc.gov/place-health/php/svi/index.html</w:t>
        </w:r>
      </w:hyperlink>
      <w:r w:rsidR="00833636">
        <w:rPr>
          <w:rFonts w:ascii="Garamond" w:hAnsi="Garamond"/>
        </w:rPr>
        <w:t xml:space="preserve"> </w:t>
      </w:r>
    </w:p>
  </w:footnote>
  <w:footnote w:id="4">
    <w:p w14:paraId="504B857A" w14:textId="56F112DE" w:rsidR="00403853" w:rsidRPr="00674BC4" w:rsidRDefault="00403853">
      <w:pPr>
        <w:pStyle w:val="FootnoteText"/>
        <w:rPr>
          <w:rFonts w:ascii="Garamond" w:hAnsi="Garamond"/>
        </w:rPr>
      </w:pPr>
      <w:r w:rsidRPr="00674BC4">
        <w:rPr>
          <w:rStyle w:val="FootnoteReference"/>
          <w:rFonts w:ascii="Garamond" w:hAnsi="Garamond"/>
        </w:rPr>
        <w:footnoteRef/>
      </w:r>
      <w:r w:rsidRPr="00674BC4">
        <w:rPr>
          <w:rFonts w:ascii="Garamond" w:hAnsi="Garamond"/>
        </w:rPr>
        <w:t xml:space="preserve"> We pooled over a </w:t>
      </w:r>
      <w:r w:rsidR="001A304C">
        <w:rPr>
          <w:rFonts w:ascii="Garamond" w:hAnsi="Garamond"/>
        </w:rPr>
        <w:t>five</w:t>
      </w:r>
      <w:r w:rsidRPr="00674BC4">
        <w:rPr>
          <w:rFonts w:ascii="Garamond" w:hAnsi="Garamond"/>
        </w:rPr>
        <w:t xml:space="preserve">-year period to smooth over the anomalous spike in firearm violence in the summer of 2020. </w:t>
      </w:r>
    </w:p>
  </w:footnote>
  <w:footnote w:id="5">
    <w:p w14:paraId="27BC7D1D" w14:textId="5077F0F0" w:rsidR="00722299" w:rsidRPr="0054557A" w:rsidRDefault="00722299">
      <w:pPr>
        <w:pStyle w:val="FootnoteText"/>
        <w:rPr>
          <w:rFonts w:ascii="Garamond" w:hAnsi="Garamond"/>
        </w:rPr>
      </w:pPr>
      <w:r w:rsidRPr="0054557A">
        <w:rPr>
          <w:rStyle w:val="FootnoteReference"/>
          <w:rFonts w:ascii="Garamond" w:hAnsi="Garamond"/>
        </w:rPr>
        <w:footnoteRef/>
      </w:r>
      <w:r w:rsidRPr="0054557A">
        <w:rPr>
          <w:rFonts w:ascii="Garamond" w:hAnsi="Garamond"/>
        </w:rPr>
        <w:t xml:space="preserve"> The American Violence project contains data on 95 cities. We restricted our analyses to the 84 cities with </w:t>
      </w:r>
      <w:proofErr w:type="gramStart"/>
      <w:r w:rsidRPr="0054557A">
        <w:rPr>
          <w:rFonts w:ascii="Garamond" w:hAnsi="Garamond"/>
        </w:rPr>
        <w:t>a sufficient number of</w:t>
      </w:r>
      <w:proofErr w:type="gramEnd"/>
      <w:r w:rsidRPr="0054557A">
        <w:rPr>
          <w:rFonts w:ascii="Garamond" w:hAnsi="Garamond"/>
        </w:rPr>
        <w:t xml:space="preserve"> tracts (N &gt;40) to produce stable city-level, standardized estimates of CDI. </w:t>
      </w:r>
    </w:p>
  </w:footnote>
  <w:footnote w:id="6">
    <w:p w14:paraId="7EA0C925" w14:textId="3150B2F2" w:rsidR="00125D45" w:rsidRPr="00B76235" w:rsidRDefault="00125D45">
      <w:pPr>
        <w:pStyle w:val="FootnoteText"/>
        <w:rPr>
          <w:rFonts w:ascii="Garamond" w:hAnsi="Garamond"/>
        </w:rPr>
      </w:pPr>
      <w:r w:rsidRPr="00B76235">
        <w:rPr>
          <w:rStyle w:val="FootnoteReference"/>
          <w:rFonts w:ascii="Garamond" w:hAnsi="Garamond"/>
        </w:rPr>
        <w:footnoteRef/>
      </w:r>
      <w:r w:rsidRPr="00B76235">
        <w:rPr>
          <w:rFonts w:ascii="Garamond" w:hAnsi="Garamond"/>
        </w:rPr>
        <w:t xml:space="preserve"> </w:t>
      </w:r>
      <w:r w:rsidRPr="00B76235">
        <w:rPr>
          <w:rFonts w:ascii="Garamond" w:hAnsi="Garamond" w:cs="Times New Roman"/>
        </w:rPr>
        <w:t>Researchers sometimes incorporate measures of racial composition, particularly percentage black, into indices of concentrated disadvantage. We contend that racial composition and structural deprivation reflect distinct dimensions of neighborhood context and have therefore excluded the former from the index.</w:t>
      </w:r>
    </w:p>
  </w:footnote>
  <w:footnote w:id="7">
    <w:p w14:paraId="33D765C9" w14:textId="16624628" w:rsidR="00CA7D9D" w:rsidRPr="00CA7D9D" w:rsidRDefault="00CA7D9D">
      <w:pPr>
        <w:pStyle w:val="FootnoteText"/>
        <w:rPr>
          <w:rFonts w:ascii="Garamond" w:hAnsi="Garamond"/>
        </w:rPr>
      </w:pPr>
      <w:r w:rsidRPr="00CA7D9D">
        <w:rPr>
          <w:rStyle w:val="FootnoteReference"/>
          <w:rFonts w:ascii="Garamond" w:hAnsi="Garamond"/>
        </w:rPr>
        <w:footnoteRef/>
      </w:r>
      <w:r w:rsidRPr="00CA7D9D">
        <w:rPr>
          <w:rFonts w:ascii="Garamond" w:hAnsi="Garamond"/>
        </w:rPr>
        <w:t xml:space="preserve"> The inclusion of educational status raised the national and state-alphas to </w:t>
      </w:r>
      <w:r w:rsidR="00AF1E85">
        <w:rPr>
          <w:rFonts w:ascii="Garamond" w:hAnsi="Garamond" w:hint="eastAsia"/>
          <w:lang w:eastAsia="ko-KR"/>
        </w:rPr>
        <w:t>0.79</w:t>
      </w:r>
      <w:r w:rsidRPr="00CA7D9D">
        <w:rPr>
          <w:rFonts w:ascii="Garamond" w:hAnsi="Garamond"/>
        </w:rPr>
        <w:t xml:space="preserve"> and </w:t>
      </w:r>
      <w:r w:rsidR="00AF1E85">
        <w:rPr>
          <w:rFonts w:ascii="Garamond" w:hAnsi="Garamond" w:hint="eastAsia"/>
          <w:lang w:eastAsia="ko-KR"/>
        </w:rPr>
        <w:t>0.78</w:t>
      </w:r>
      <w:r w:rsidRPr="00CA7D9D">
        <w:rPr>
          <w:rFonts w:ascii="Garamond" w:hAnsi="Garamond"/>
        </w:rPr>
        <w:t xml:space="preserve">, respectively. The inclusion of income to </w:t>
      </w:r>
      <w:r w:rsidR="00AF1E85">
        <w:rPr>
          <w:rFonts w:ascii="Garamond" w:hAnsi="Garamond" w:hint="eastAsia"/>
          <w:lang w:eastAsia="ko-KR"/>
        </w:rPr>
        <w:t>0.83</w:t>
      </w:r>
      <w:r w:rsidRPr="00CA7D9D">
        <w:rPr>
          <w:rFonts w:ascii="Garamond" w:hAnsi="Garamond"/>
        </w:rPr>
        <w:t xml:space="preserve"> and </w:t>
      </w:r>
      <w:r w:rsidR="00AF1E85">
        <w:rPr>
          <w:rFonts w:ascii="Garamond" w:hAnsi="Garamond" w:hint="eastAsia"/>
          <w:lang w:eastAsia="ko-KR"/>
        </w:rPr>
        <w:t>0.82</w:t>
      </w:r>
      <w:r w:rsidRPr="00CA7D9D">
        <w:rPr>
          <w:rFonts w:ascii="Garamond" w:hAnsi="Garamond"/>
        </w:rPr>
        <w:t xml:space="preserve">. </w:t>
      </w:r>
    </w:p>
  </w:footnote>
  <w:footnote w:id="8">
    <w:p w14:paraId="41B2B473" w14:textId="2336189D" w:rsidR="002209F1" w:rsidRPr="002209F1" w:rsidRDefault="002209F1">
      <w:pPr>
        <w:pStyle w:val="FootnoteText"/>
        <w:rPr>
          <w:rFonts w:ascii="Garamond" w:hAnsi="Garamond"/>
        </w:rPr>
      </w:pPr>
      <w:r w:rsidRPr="002209F1">
        <w:rPr>
          <w:rStyle w:val="FootnoteReference"/>
          <w:rFonts w:ascii="Garamond" w:hAnsi="Garamond"/>
        </w:rPr>
        <w:footnoteRef/>
      </w:r>
      <w:r w:rsidRPr="002209F1">
        <w:rPr>
          <w:rFonts w:ascii="Garamond" w:hAnsi="Garamond"/>
        </w:rPr>
        <w:t xml:space="preserve"> Likelihood-ratio tests</w:t>
      </w:r>
      <w:r w:rsidR="00443158">
        <w:rPr>
          <w:rFonts w:ascii="Garamond" w:hAnsi="Garamond"/>
        </w:rPr>
        <w:t xml:space="preserve"> </w:t>
      </w:r>
      <w:r w:rsidRPr="002209F1">
        <w:rPr>
          <w:rFonts w:ascii="Garamond" w:hAnsi="Garamond"/>
        </w:rPr>
        <w:t xml:space="preserve">indicated significant overdispersion in the firearm homicide counts, </w:t>
      </w:r>
      <w:r w:rsidR="004D63F1">
        <w:rPr>
          <w:rFonts w:ascii="Garamond" w:hAnsi="Garamond"/>
        </w:rPr>
        <w:t>suggesting that</w:t>
      </w:r>
      <w:r w:rsidRPr="002209F1">
        <w:rPr>
          <w:rFonts w:ascii="Garamond" w:hAnsi="Garamond"/>
        </w:rPr>
        <w:t xml:space="preserve"> the use of negative binomial regression </w:t>
      </w:r>
      <w:r w:rsidR="005A2132">
        <w:rPr>
          <w:rFonts w:ascii="Garamond" w:hAnsi="Garamond"/>
        </w:rPr>
        <w:t xml:space="preserve">was preferred </w:t>
      </w:r>
      <w:r>
        <w:rPr>
          <w:rFonts w:ascii="Garamond" w:hAnsi="Garamond"/>
        </w:rPr>
        <w:t xml:space="preserve">over Poisson </w:t>
      </w:r>
      <w:r w:rsidR="001F7FB8">
        <w:rPr>
          <w:rFonts w:ascii="Garamond" w:hAnsi="Garamond"/>
        </w:rPr>
        <w:t>regression</w:t>
      </w:r>
      <w:r w:rsidR="00345469">
        <w:rPr>
          <w:rFonts w:ascii="Garamond" w:hAnsi="Garamond"/>
        </w:rPr>
        <w:t xml:space="preserve"> (LR = 32705.79</w:t>
      </w:r>
      <w:r w:rsidR="00EA057A">
        <w:rPr>
          <w:rFonts w:ascii="Garamond" w:hAnsi="Garamond"/>
        </w:rPr>
        <w:t xml:space="preserve">; </w:t>
      </w:r>
      <w:r w:rsidR="00345469">
        <w:rPr>
          <w:rFonts w:ascii="Garamond" w:hAnsi="Garamond"/>
        </w:rPr>
        <w:t>p&lt; 0.001)</w:t>
      </w:r>
      <w:r w:rsidR="001F7FB8">
        <w:rPr>
          <w:rFonts w:ascii="Garamond" w:hAnsi="Garamond"/>
        </w:rPr>
        <w:t>.</w:t>
      </w:r>
    </w:p>
  </w:footnote>
  <w:footnote w:id="9">
    <w:p w14:paraId="7C5CCE51" w14:textId="207E225D" w:rsidR="00C42FC0" w:rsidRPr="00674BC4" w:rsidRDefault="00C42FC0">
      <w:pPr>
        <w:pStyle w:val="FootnoteText"/>
        <w:rPr>
          <w:rFonts w:ascii="Garamond" w:hAnsi="Garamond"/>
        </w:rPr>
      </w:pPr>
      <w:r w:rsidRPr="00674BC4">
        <w:rPr>
          <w:rStyle w:val="FootnoteReference"/>
          <w:rFonts w:ascii="Garamond" w:hAnsi="Garamond"/>
        </w:rPr>
        <w:footnoteRef/>
      </w:r>
      <w:r w:rsidRPr="00674BC4">
        <w:rPr>
          <w:rFonts w:ascii="Garamond" w:hAnsi="Garamond"/>
        </w:rPr>
        <w:t xml:space="preserve"> As a robustness check, we re-estimate </w:t>
      </w:r>
      <w:r w:rsidR="00CE0C68">
        <w:rPr>
          <w:rFonts w:ascii="Garamond" w:hAnsi="Garamond"/>
        </w:rPr>
        <w:t>OLS</w:t>
      </w:r>
      <w:r w:rsidR="00CE0C68" w:rsidRPr="00674BC4">
        <w:rPr>
          <w:rFonts w:ascii="Garamond" w:hAnsi="Garamond"/>
        </w:rPr>
        <w:t xml:space="preserve"> </w:t>
      </w:r>
      <w:r w:rsidRPr="00674BC4">
        <w:rPr>
          <w:rFonts w:ascii="Garamond" w:hAnsi="Garamond"/>
        </w:rPr>
        <w:t xml:space="preserve">models substituting the five-year homicide </w:t>
      </w:r>
      <w:r w:rsidRPr="00674BC4">
        <w:rPr>
          <w:rFonts w:ascii="Garamond" w:hAnsi="Garamond"/>
          <w:i/>
          <w:iCs/>
        </w:rPr>
        <w:t>rate</w:t>
      </w:r>
      <w:r w:rsidRPr="00674BC4">
        <w:rPr>
          <w:rFonts w:ascii="Garamond" w:hAnsi="Garamond"/>
        </w:rPr>
        <w:t xml:space="preserve"> for the counts models presented here (See Appendix </w:t>
      </w:r>
      <w:r w:rsidR="00B62E9E" w:rsidRPr="00674BC4">
        <w:rPr>
          <w:rFonts w:ascii="Garamond" w:hAnsi="Garamond"/>
        </w:rPr>
        <w:t>A2</w:t>
      </w:r>
      <w:r w:rsidRPr="00674BC4">
        <w:rPr>
          <w:rFonts w:ascii="Garamond" w:hAnsi="Garamond"/>
        </w:rPr>
        <w:t>)</w:t>
      </w:r>
      <w:r w:rsidR="001B0CED" w:rsidRPr="00674BC4">
        <w:rPr>
          <w:rFonts w:ascii="Garamond" w:hAnsi="Garamond"/>
        </w:rPr>
        <w:t xml:space="preserve">. The results are substantively identical to those reported </w:t>
      </w:r>
      <w:r w:rsidR="00B62E9E" w:rsidRPr="00674BC4">
        <w:rPr>
          <w:rFonts w:ascii="Garamond" w:hAnsi="Garamond"/>
        </w:rPr>
        <w:t>here</w:t>
      </w:r>
      <w:r w:rsidR="001B0CED" w:rsidRPr="00674BC4">
        <w:rPr>
          <w:rFonts w:ascii="Garamond" w:hAnsi="Garamond"/>
        </w:rPr>
        <w:t xml:space="preserve">. </w:t>
      </w:r>
    </w:p>
  </w:footnote>
  <w:footnote w:id="10">
    <w:p w14:paraId="6D02E96A" w14:textId="7AB97CD5" w:rsidR="00E50BDF" w:rsidRPr="000B6603" w:rsidRDefault="00E50BDF">
      <w:pPr>
        <w:pStyle w:val="FootnoteText"/>
        <w:rPr>
          <w:rFonts w:ascii="Garamond" w:hAnsi="Garamond"/>
        </w:rPr>
      </w:pPr>
      <w:r w:rsidRPr="000B6603">
        <w:rPr>
          <w:rStyle w:val="FootnoteReference"/>
          <w:rFonts w:ascii="Garamond" w:hAnsi="Garamond"/>
        </w:rPr>
        <w:footnoteRef/>
      </w:r>
      <w:r w:rsidRPr="000B6603">
        <w:rPr>
          <w:rFonts w:ascii="Garamond" w:hAnsi="Garamond"/>
        </w:rPr>
        <w:t xml:space="preserve"> The minority status subscale </w:t>
      </w:r>
      <w:r w:rsidR="000B6603" w:rsidRPr="000B6603">
        <w:rPr>
          <w:rFonts w:ascii="Garamond" w:hAnsi="Garamond"/>
        </w:rPr>
        <w:t>consists</w:t>
      </w:r>
      <w:r w:rsidRPr="000B6603">
        <w:rPr>
          <w:rFonts w:ascii="Garamond" w:hAnsi="Garamond"/>
        </w:rPr>
        <w:t xml:space="preserve"> of a single item, </w:t>
      </w:r>
      <w:r w:rsidR="000B6603" w:rsidRPr="000B6603">
        <w:rPr>
          <w:rFonts w:ascii="Garamond" w:hAnsi="Garamond"/>
        </w:rPr>
        <w:t xml:space="preserve">rendering reliability analysis </w:t>
      </w:r>
      <w:r w:rsidR="00701007">
        <w:rPr>
          <w:rFonts w:ascii="Garamond" w:hAnsi="Garamond"/>
        </w:rPr>
        <w:t>unnecessary</w:t>
      </w:r>
      <w:r w:rsidR="000B6603" w:rsidRPr="000B6603">
        <w:rPr>
          <w:rFonts w:ascii="Garamond" w:hAnsi="Garamond"/>
        </w:rPr>
        <w:t xml:space="preserve">. </w:t>
      </w:r>
    </w:p>
  </w:footnote>
  <w:footnote w:id="11">
    <w:p w14:paraId="362E6B26" w14:textId="540C1F4F" w:rsidR="00AD008B" w:rsidRPr="00DC6B51" w:rsidRDefault="00AD008B" w:rsidP="00DC6B51">
      <w:pPr>
        <w:spacing w:after="0" w:line="240" w:lineRule="auto"/>
        <w:rPr>
          <w:rFonts w:ascii="Garamond" w:hAnsi="Garamond" w:cs="Times New Roman"/>
          <w:sz w:val="20"/>
          <w:szCs w:val="20"/>
        </w:rPr>
      </w:pPr>
      <w:r w:rsidRPr="00A30D0B">
        <w:rPr>
          <w:rStyle w:val="FootnoteReference"/>
          <w:rFonts w:ascii="Garamond" w:hAnsi="Garamond"/>
          <w:sz w:val="20"/>
          <w:szCs w:val="20"/>
        </w:rPr>
        <w:footnoteRef/>
      </w:r>
      <w:r w:rsidRPr="00A30D0B">
        <w:rPr>
          <w:rFonts w:ascii="Garamond" w:hAnsi="Garamond"/>
          <w:sz w:val="20"/>
          <w:szCs w:val="20"/>
        </w:rPr>
        <w:t xml:space="preserve"> </w:t>
      </w:r>
      <w:r w:rsidRPr="00A30D0B">
        <w:rPr>
          <w:rFonts w:ascii="Garamond" w:hAnsi="Garamond" w:cs="Times New Roman"/>
          <w:sz w:val="20"/>
          <w:szCs w:val="20"/>
        </w:rPr>
        <w:t>Because the SVI is bounded between 0 and 1, the IRRs reflect the effect of moving across the full range of the measure. As such, these estimates are not directly comparable in magnitude to those derived from the CDI. When rescaled (e.g., expressed per standard deviation</w:t>
      </w:r>
      <w:r>
        <w:rPr>
          <w:rFonts w:ascii="Garamond" w:hAnsi="Garamond" w:cs="Times New Roman"/>
          <w:sz w:val="20"/>
          <w:szCs w:val="20"/>
        </w:rPr>
        <w:t xml:space="preserve"> unit</w:t>
      </w:r>
      <w:r w:rsidRPr="00A30D0B">
        <w:rPr>
          <w:rFonts w:ascii="Garamond" w:hAnsi="Garamond" w:cs="Times New Roman"/>
          <w:sz w:val="20"/>
          <w:szCs w:val="20"/>
        </w:rPr>
        <w:t>), the relative effect sizes are more comparable, and the substantive conclusions are unchanged.</w:t>
      </w:r>
      <w:r w:rsidR="00A30D0B">
        <w:rPr>
          <w:rFonts w:ascii="Garamond" w:hAnsi="Garamond" w:cs="Times New Roman"/>
          <w:sz w:val="20"/>
          <w:szCs w:val="20"/>
        </w:rPr>
        <w:t xml:space="preserve"> </w:t>
      </w:r>
    </w:p>
  </w:footnote>
  <w:footnote w:id="12">
    <w:p w14:paraId="77C38A67" w14:textId="78486702" w:rsidR="00354873" w:rsidRPr="00490BFF" w:rsidRDefault="00354873">
      <w:pPr>
        <w:pStyle w:val="FootnoteText"/>
        <w:rPr>
          <w:rFonts w:ascii="Garamond" w:hAnsi="Garamond"/>
        </w:rPr>
      </w:pPr>
      <w:r w:rsidRPr="00490BFF">
        <w:rPr>
          <w:rStyle w:val="FootnoteReference"/>
          <w:rFonts w:ascii="Garamond" w:hAnsi="Garamond"/>
        </w:rPr>
        <w:footnoteRef/>
      </w:r>
      <w:r w:rsidRPr="00490BFF">
        <w:rPr>
          <w:rFonts w:ascii="Garamond" w:hAnsi="Garamond"/>
        </w:rPr>
        <w:t xml:space="preserve"> </w:t>
      </w:r>
      <w:r w:rsidR="00474B30" w:rsidRPr="00490BFF">
        <w:rPr>
          <w:rFonts w:ascii="Garamond" w:hAnsi="Garamond"/>
        </w:rPr>
        <w:t>To address the possibility that the SVI estimates may be disproportionately influenced by extreme observations,</w:t>
      </w:r>
      <w:r w:rsidR="00CF7CCB" w:rsidRPr="00490BFF">
        <w:rPr>
          <w:rFonts w:ascii="Garamond" w:hAnsi="Garamond"/>
        </w:rPr>
        <w:t xml:space="preserve"> thereby unduly deteriorating model </w:t>
      </w:r>
      <w:r w:rsidR="00865408" w:rsidRPr="00490BFF">
        <w:rPr>
          <w:rFonts w:ascii="Garamond" w:hAnsi="Garamond"/>
        </w:rPr>
        <w:t>fit, we</w:t>
      </w:r>
      <w:r w:rsidRPr="00490BFF">
        <w:rPr>
          <w:rFonts w:ascii="Garamond" w:hAnsi="Garamond"/>
        </w:rPr>
        <w:t xml:space="preserve"> conducted standard diagnostic checks for influential observations and re-estimated models excluding cases with standardized or studentized residuals exceeding </w:t>
      </w:r>
      <w:r w:rsidRPr="00490BFF">
        <w:rPr>
          <w:rFonts w:ascii="Cambria Math" w:hAnsi="Cambria Math" w:cs="Cambria Math"/>
        </w:rPr>
        <w:t>∣</w:t>
      </w:r>
      <w:r w:rsidRPr="00490BFF">
        <w:rPr>
          <w:rFonts w:ascii="Garamond" w:hAnsi="Garamond"/>
        </w:rPr>
        <w:t>2</w:t>
      </w:r>
      <w:r w:rsidRPr="00490BFF">
        <w:rPr>
          <w:rFonts w:ascii="Cambria Math" w:hAnsi="Cambria Math" w:cs="Cambria Math"/>
        </w:rPr>
        <w:t>∣</w:t>
      </w:r>
      <w:r w:rsidR="00490BFF" w:rsidRPr="00490BFF">
        <w:rPr>
          <w:rFonts w:ascii="Garamond" w:hAnsi="Garamond" w:cs="Cambria Math"/>
        </w:rPr>
        <w:t>, Cook’s D exceeding 4/n,</w:t>
      </w:r>
      <w:r w:rsidRPr="00490BFF">
        <w:rPr>
          <w:rFonts w:ascii="Garamond" w:hAnsi="Garamond"/>
        </w:rPr>
        <w:t xml:space="preserve"> and leverage values greater than</w:t>
      </w:r>
      <w:r w:rsidR="00474B30" w:rsidRPr="00490BFF">
        <w:rPr>
          <w:rFonts w:ascii="Garamond" w:hAnsi="Garamond"/>
        </w:rPr>
        <w:t xml:space="preserve"> </w:t>
      </w:r>
      <w:r w:rsidRPr="00490BFF">
        <w:rPr>
          <w:rFonts w:ascii="Garamond" w:hAnsi="Garamond"/>
        </w:rPr>
        <w:t xml:space="preserve">2k/n. Applying these thresholds resulted in the removal of approximately </w:t>
      </w:r>
      <w:r w:rsidR="00490BFF">
        <w:rPr>
          <w:rFonts w:ascii="Garamond" w:hAnsi="Garamond"/>
        </w:rPr>
        <w:t>4</w:t>
      </w:r>
      <w:r w:rsidRPr="00490BFF">
        <w:rPr>
          <w:rFonts w:ascii="Garamond" w:hAnsi="Garamond"/>
        </w:rPr>
        <w:t>–6% of observations. The substantive results were unchanged, with the CDI continuing to demonstrate superior model fit relative to both the composite SVI and each of its subdomains</w:t>
      </w:r>
      <w:r w:rsidR="00865408" w:rsidRPr="00490BFF">
        <w:rPr>
          <w:rFonts w:ascii="Garamond" w:hAnsi="Garamond"/>
        </w:rPr>
        <w:t xml:space="preserve"> in the </w:t>
      </w:r>
      <w:r w:rsidR="008519D9">
        <w:rPr>
          <w:rFonts w:ascii="Garamond" w:hAnsi="Garamond"/>
        </w:rPr>
        <w:t>trimmed</w:t>
      </w:r>
      <w:r w:rsidR="00865408" w:rsidRPr="00490BFF">
        <w:rPr>
          <w:rFonts w:ascii="Garamond" w:hAnsi="Garamond"/>
        </w:rPr>
        <w:t xml:space="preserve"> samples</w:t>
      </w:r>
      <w:r w:rsidRPr="00490BFF">
        <w:rPr>
          <w:rFonts w:ascii="Garamond" w:hAnsi="Garamond"/>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637"/>
    <w:multiLevelType w:val="multilevel"/>
    <w:tmpl w:val="424E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260EF"/>
    <w:multiLevelType w:val="multilevel"/>
    <w:tmpl w:val="D73C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37E2D"/>
    <w:multiLevelType w:val="hybridMultilevel"/>
    <w:tmpl w:val="93383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30242"/>
    <w:multiLevelType w:val="multilevel"/>
    <w:tmpl w:val="B31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77982"/>
    <w:multiLevelType w:val="multilevel"/>
    <w:tmpl w:val="81A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137B0"/>
    <w:multiLevelType w:val="multilevel"/>
    <w:tmpl w:val="298AE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856F63"/>
    <w:multiLevelType w:val="multilevel"/>
    <w:tmpl w:val="098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8140A"/>
    <w:multiLevelType w:val="multilevel"/>
    <w:tmpl w:val="CD8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969306">
    <w:abstractNumId w:val="5"/>
  </w:num>
  <w:num w:numId="2" w16cid:durableId="1141269542">
    <w:abstractNumId w:val="7"/>
  </w:num>
  <w:num w:numId="3" w16cid:durableId="1739748631">
    <w:abstractNumId w:val="3"/>
  </w:num>
  <w:num w:numId="4" w16cid:durableId="2090884874">
    <w:abstractNumId w:val="6"/>
  </w:num>
  <w:num w:numId="5" w16cid:durableId="1168446698">
    <w:abstractNumId w:val="0"/>
  </w:num>
  <w:num w:numId="6" w16cid:durableId="1373379108">
    <w:abstractNumId w:val="4"/>
  </w:num>
  <w:num w:numId="7" w16cid:durableId="1820610785">
    <w:abstractNumId w:val="1"/>
  </w:num>
  <w:num w:numId="8" w16cid:durableId="20888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3"/>
    <w:rsid w:val="000045B3"/>
    <w:rsid w:val="00005E73"/>
    <w:rsid w:val="000129F7"/>
    <w:rsid w:val="00012B4C"/>
    <w:rsid w:val="00012BC5"/>
    <w:rsid w:val="0001659C"/>
    <w:rsid w:val="00020597"/>
    <w:rsid w:val="000205B5"/>
    <w:rsid w:val="000302C1"/>
    <w:rsid w:val="00034138"/>
    <w:rsid w:val="00035042"/>
    <w:rsid w:val="00035D77"/>
    <w:rsid w:val="00040B5E"/>
    <w:rsid w:val="0004229E"/>
    <w:rsid w:val="00047E9A"/>
    <w:rsid w:val="00050868"/>
    <w:rsid w:val="00051DCF"/>
    <w:rsid w:val="00053BB3"/>
    <w:rsid w:val="00053EAF"/>
    <w:rsid w:val="00054649"/>
    <w:rsid w:val="0006085C"/>
    <w:rsid w:val="00066DE5"/>
    <w:rsid w:val="00066E56"/>
    <w:rsid w:val="00067805"/>
    <w:rsid w:val="000720B1"/>
    <w:rsid w:val="000778D9"/>
    <w:rsid w:val="000800C5"/>
    <w:rsid w:val="00083660"/>
    <w:rsid w:val="000836E5"/>
    <w:rsid w:val="00084C39"/>
    <w:rsid w:val="00086205"/>
    <w:rsid w:val="0008733F"/>
    <w:rsid w:val="0009047D"/>
    <w:rsid w:val="000917BC"/>
    <w:rsid w:val="0009687C"/>
    <w:rsid w:val="0009719A"/>
    <w:rsid w:val="00097B4D"/>
    <w:rsid w:val="000A232B"/>
    <w:rsid w:val="000B5377"/>
    <w:rsid w:val="000B6603"/>
    <w:rsid w:val="000B6EBB"/>
    <w:rsid w:val="000B754F"/>
    <w:rsid w:val="000B7DDE"/>
    <w:rsid w:val="000C04FC"/>
    <w:rsid w:val="000D443E"/>
    <w:rsid w:val="000D66B3"/>
    <w:rsid w:val="000E17A0"/>
    <w:rsid w:val="000F0196"/>
    <w:rsid w:val="000F0E2C"/>
    <w:rsid w:val="00103497"/>
    <w:rsid w:val="00107345"/>
    <w:rsid w:val="00110230"/>
    <w:rsid w:val="00112298"/>
    <w:rsid w:val="001127A9"/>
    <w:rsid w:val="00112F24"/>
    <w:rsid w:val="00113F0E"/>
    <w:rsid w:val="00120E9E"/>
    <w:rsid w:val="00125D45"/>
    <w:rsid w:val="001271FD"/>
    <w:rsid w:val="00127717"/>
    <w:rsid w:val="001313BD"/>
    <w:rsid w:val="00133B6B"/>
    <w:rsid w:val="00134555"/>
    <w:rsid w:val="00135F68"/>
    <w:rsid w:val="00136AB3"/>
    <w:rsid w:val="001436F0"/>
    <w:rsid w:val="00143B23"/>
    <w:rsid w:val="00151D4A"/>
    <w:rsid w:val="001527BC"/>
    <w:rsid w:val="001551F0"/>
    <w:rsid w:val="001601D1"/>
    <w:rsid w:val="00160AB7"/>
    <w:rsid w:val="00160B23"/>
    <w:rsid w:val="00161A93"/>
    <w:rsid w:val="00166889"/>
    <w:rsid w:val="00167447"/>
    <w:rsid w:val="00170B4C"/>
    <w:rsid w:val="00175515"/>
    <w:rsid w:val="00177541"/>
    <w:rsid w:val="001828D6"/>
    <w:rsid w:val="001844DF"/>
    <w:rsid w:val="00185B13"/>
    <w:rsid w:val="001913EF"/>
    <w:rsid w:val="00195DE4"/>
    <w:rsid w:val="001968C2"/>
    <w:rsid w:val="00197085"/>
    <w:rsid w:val="001A20A2"/>
    <w:rsid w:val="001A304C"/>
    <w:rsid w:val="001B0CED"/>
    <w:rsid w:val="001B5830"/>
    <w:rsid w:val="001B640E"/>
    <w:rsid w:val="001C1654"/>
    <w:rsid w:val="001C5F66"/>
    <w:rsid w:val="001D5C51"/>
    <w:rsid w:val="001D6F53"/>
    <w:rsid w:val="001E0F94"/>
    <w:rsid w:val="001E236A"/>
    <w:rsid w:val="001E6244"/>
    <w:rsid w:val="001E6A01"/>
    <w:rsid w:val="001E73D5"/>
    <w:rsid w:val="001E7E3D"/>
    <w:rsid w:val="001F2C3F"/>
    <w:rsid w:val="001F4C1C"/>
    <w:rsid w:val="001F663D"/>
    <w:rsid w:val="001F7FB8"/>
    <w:rsid w:val="002004B0"/>
    <w:rsid w:val="00202063"/>
    <w:rsid w:val="00202BBA"/>
    <w:rsid w:val="00203381"/>
    <w:rsid w:val="00203BB4"/>
    <w:rsid w:val="00204E33"/>
    <w:rsid w:val="00205C80"/>
    <w:rsid w:val="00206E8A"/>
    <w:rsid w:val="00211842"/>
    <w:rsid w:val="0021268B"/>
    <w:rsid w:val="002159D4"/>
    <w:rsid w:val="002209F1"/>
    <w:rsid w:val="00223223"/>
    <w:rsid w:val="00225D42"/>
    <w:rsid w:val="002263A6"/>
    <w:rsid w:val="00231DDC"/>
    <w:rsid w:val="002368E7"/>
    <w:rsid w:val="00236B04"/>
    <w:rsid w:val="0024094F"/>
    <w:rsid w:val="00240C6C"/>
    <w:rsid w:val="00242FEC"/>
    <w:rsid w:val="00245019"/>
    <w:rsid w:val="002455E9"/>
    <w:rsid w:val="00246CAE"/>
    <w:rsid w:val="00246D81"/>
    <w:rsid w:val="00252EA3"/>
    <w:rsid w:val="0026114A"/>
    <w:rsid w:val="002673AE"/>
    <w:rsid w:val="00267C29"/>
    <w:rsid w:val="00267D94"/>
    <w:rsid w:val="0027064E"/>
    <w:rsid w:val="00275B66"/>
    <w:rsid w:val="0027639F"/>
    <w:rsid w:val="00277732"/>
    <w:rsid w:val="00280EF3"/>
    <w:rsid w:val="00281828"/>
    <w:rsid w:val="00282211"/>
    <w:rsid w:val="00286299"/>
    <w:rsid w:val="00290517"/>
    <w:rsid w:val="0029141B"/>
    <w:rsid w:val="0029195C"/>
    <w:rsid w:val="0029229A"/>
    <w:rsid w:val="0029435F"/>
    <w:rsid w:val="002958EE"/>
    <w:rsid w:val="0029689B"/>
    <w:rsid w:val="00297EDE"/>
    <w:rsid w:val="002A0547"/>
    <w:rsid w:val="002A1220"/>
    <w:rsid w:val="002A4B04"/>
    <w:rsid w:val="002A6271"/>
    <w:rsid w:val="002A62A5"/>
    <w:rsid w:val="002A6D14"/>
    <w:rsid w:val="002B0A22"/>
    <w:rsid w:val="002B3D0F"/>
    <w:rsid w:val="002B4719"/>
    <w:rsid w:val="002B7113"/>
    <w:rsid w:val="002C034D"/>
    <w:rsid w:val="002C0E99"/>
    <w:rsid w:val="002C202D"/>
    <w:rsid w:val="002C28B6"/>
    <w:rsid w:val="002C2A2E"/>
    <w:rsid w:val="002C307F"/>
    <w:rsid w:val="002C4511"/>
    <w:rsid w:val="002C53E6"/>
    <w:rsid w:val="002D04DE"/>
    <w:rsid w:val="002D05CF"/>
    <w:rsid w:val="002D0D23"/>
    <w:rsid w:val="002D1055"/>
    <w:rsid w:val="002D18D9"/>
    <w:rsid w:val="002D2705"/>
    <w:rsid w:val="002D6876"/>
    <w:rsid w:val="002E210B"/>
    <w:rsid w:val="002E4C28"/>
    <w:rsid w:val="002F5843"/>
    <w:rsid w:val="00306F4C"/>
    <w:rsid w:val="00307FD7"/>
    <w:rsid w:val="00310616"/>
    <w:rsid w:val="00314D5E"/>
    <w:rsid w:val="003164C8"/>
    <w:rsid w:val="00322F33"/>
    <w:rsid w:val="00323437"/>
    <w:rsid w:val="003254F0"/>
    <w:rsid w:val="0032793D"/>
    <w:rsid w:val="003308AE"/>
    <w:rsid w:val="00334102"/>
    <w:rsid w:val="00334682"/>
    <w:rsid w:val="00336930"/>
    <w:rsid w:val="00341533"/>
    <w:rsid w:val="00344DA9"/>
    <w:rsid w:val="00345469"/>
    <w:rsid w:val="00352AE2"/>
    <w:rsid w:val="00354873"/>
    <w:rsid w:val="0035634B"/>
    <w:rsid w:val="0035678A"/>
    <w:rsid w:val="00357399"/>
    <w:rsid w:val="00361281"/>
    <w:rsid w:val="00362318"/>
    <w:rsid w:val="00362CA9"/>
    <w:rsid w:val="00364CAF"/>
    <w:rsid w:val="00364DA1"/>
    <w:rsid w:val="0036761E"/>
    <w:rsid w:val="00370F7F"/>
    <w:rsid w:val="0037295B"/>
    <w:rsid w:val="00374F37"/>
    <w:rsid w:val="00377C84"/>
    <w:rsid w:val="00380717"/>
    <w:rsid w:val="003835A6"/>
    <w:rsid w:val="0038412B"/>
    <w:rsid w:val="003842D4"/>
    <w:rsid w:val="0038600D"/>
    <w:rsid w:val="003905DD"/>
    <w:rsid w:val="00390C32"/>
    <w:rsid w:val="0039291F"/>
    <w:rsid w:val="00394A5B"/>
    <w:rsid w:val="00395165"/>
    <w:rsid w:val="0039760B"/>
    <w:rsid w:val="003A154C"/>
    <w:rsid w:val="003A441E"/>
    <w:rsid w:val="003A5BE0"/>
    <w:rsid w:val="003A7759"/>
    <w:rsid w:val="003A7C5D"/>
    <w:rsid w:val="003B03A5"/>
    <w:rsid w:val="003B1A74"/>
    <w:rsid w:val="003B2282"/>
    <w:rsid w:val="003B2D9E"/>
    <w:rsid w:val="003B34EB"/>
    <w:rsid w:val="003C3527"/>
    <w:rsid w:val="003D26F2"/>
    <w:rsid w:val="003D2B7E"/>
    <w:rsid w:val="003E1D2C"/>
    <w:rsid w:val="003E3E7F"/>
    <w:rsid w:val="003E675E"/>
    <w:rsid w:val="003F09D6"/>
    <w:rsid w:val="003F2FC4"/>
    <w:rsid w:val="003F7975"/>
    <w:rsid w:val="004006F9"/>
    <w:rsid w:val="00403853"/>
    <w:rsid w:val="0040405A"/>
    <w:rsid w:val="0040447F"/>
    <w:rsid w:val="00404D49"/>
    <w:rsid w:val="0041210C"/>
    <w:rsid w:val="00412582"/>
    <w:rsid w:val="004132B0"/>
    <w:rsid w:val="00417537"/>
    <w:rsid w:val="004255F3"/>
    <w:rsid w:val="00426512"/>
    <w:rsid w:val="004270C4"/>
    <w:rsid w:val="00430E16"/>
    <w:rsid w:val="00432B49"/>
    <w:rsid w:val="00432C15"/>
    <w:rsid w:val="00435069"/>
    <w:rsid w:val="00437EA4"/>
    <w:rsid w:val="00441CA3"/>
    <w:rsid w:val="00443158"/>
    <w:rsid w:val="00451062"/>
    <w:rsid w:val="004540AE"/>
    <w:rsid w:val="004622E9"/>
    <w:rsid w:val="0046571F"/>
    <w:rsid w:val="00471AFF"/>
    <w:rsid w:val="00472494"/>
    <w:rsid w:val="00474B30"/>
    <w:rsid w:val="004822A3"/>
    <w:rsid w:val="00482790"/>
    <w:rsid w:val="0048306C"/>
    <w:rsid w:val="004838B1"/>
    <w:rsid w:val="00483EAB"/>
    <w:rsid w:val="004862D3"/>
    <w:rsid w:val="004870C6"/>
    <w:rsid w:val="0048721E"/>
    <w:rsid w:val="00490BFF"/>
    <w:rsid w:val="00491483"/>
    <w:rsid w:val="00491737"/>
    <w:rsid w:val="00495DA7"/>
    <w:rsid w:val="0049601A"/>
    <w:rsid w:val="004968E3"/>
    <w:rsid w:val="004A07C8"/>
    <w:rsid w:val="004A1160"/>
    <w:rsid w:val="004A1DFB"/>
    <w:rsid w:val="004A44D0"/>
    <w:rsid w:val="004A55FC"/>
    <w:rsid w:val="004A56C2"/>
    <w:rsid w:val="004B7445"/>
    <w:rsid w:val="004B7F73"/>
    <w:rsid w:val="004C0176"/>
    <w:rsid w:val="004C5226"/>
    <w:rsid w:val="004C65DE"/>
    <w:rsid w:val="004D63F1"/>
    <w:rsid w:val="004D759D"/>
    <w:rsid w:val="004E10FF"/>
    <w:rsid w:val="004E1278"/>
    <w:rsid w:val="004E53C6"/>
    <w:rsid w:val="004F53A8"/>
    <w:rsid w:val="004F552E"/>
    <w:rsid w:val="004F6D00"/>
    <w:rsid w:val="004F784B"/>
    <w:rsid w:val="00505674"/>
    <w:rsid w:val="00505D54"/>
    <w:rsid w:val="0050671F"/>
    <w:rsid w:val="00506F62"/>
    <w:rsid w:val="00511037"/>
    <w:rsid w:val="00515531"/>
    <w:rsid w:val="005172B3"/>
    <w:rsid w:val="0052165B"/>
    <w:rsid w:val="0052433E"/>
    <w:rsid w:val="00525E7A"/>
    <w:rsid w:val="00527B30"/>
    <w:rsid w:val="00531E4A"/>
    <w:rsid w:val="00533B51"/>
    <w:rsid w:val="00536347"/>
    <w:rsid w:val="0054414E"/>
    <w:rsid w:val="0054557A"/>
    <w:rsid w:val="005516B5"/>
    <w:rsid w:val="00551730"/>
    <w:rsid w:val="00551CFB"/>
    <w:rsid w:val="005548B3"/>
    <w:rsid w:val="00554C8B"/>
    <w:rsid w:val="005565BF"/>
    <w:rsid w:val="00557D9F"/>
    <w:rsid w:val="00560214"/>
    <w:rsid w:val="00564E7E"/>
    <w:rsid w:val="00566250"/>
    <w:rsid w:val="00573E80"/>
    <w:rsid w:val="00574C77"/>
    <w:rsid w:val="00575B66"/>
    <w:rsid w:val="00580383"/>
    <w:rsid w:val="00585A85"/>
    <w:rsid w:val="0059297A"/>
    <w:rsid w:val="00593D17"/>
    <w:rsid w:val="0059650B"/>
    <w:rsid w:val="005A0B5B"/>
    <w:rsid w:val="005A2132"/>
    <w:rsid w:val="005A5B5D"/>
    <w:rsid w:val="005A7633"/>
    <w:rsid w:val="005B0E42"/>
    <w:rsid w:val="005B12C9"/>
    <w:rsid w:val="005B21E5"/>
    <w:rsid w:val="005B40B7"/>
    <w:rsid w:val="005B61F8"/>
    <w:rsid w:val="005B7AA8"/>
    <w:rsid w:val="005D65B7"/>
    <w:rsid w:val="005D674F"/>
    <w:rsid w:val="005D6F30"/>
    <w:rsid w:val="005E0287"/>
    <w:rsid w:val="005E54A2"/>
    <w:rsid w:val="005E707E"/>
    <w:rsid w:val="005F0BCD"/>
    <w:rsid w:val="005F58FF"/>
    <w:rsid w:val="005F6444"/>
    <w:rsid w:val="00601333"/>
    <w:rsid w:val="006055F4"/>
    <w:rsid w:val="00612E6B"/>
    <w:rsid w:val="0061314F"/>
    <w:rsid w:val="00623703"/>
    <w:rsid w:val="0062581E"/>
    <w:rsid w:val="006306BC"/>
    <w:rsid w:val="00636217"/>
    <w:rsid w:val="00636AF5"/>
    <w:rsid w:val="00636C50"/>
    <w:rsid w:val="0063709A"/>
    <w:rsid w:val="00637562"/>
    <w:rsid w:val="006402AB"/>
    <w:rsid w:val="00641943"/>
    <w:rsid w:val="00641AF5"/>
    <w:rsid w:val="00645010"/>
    <w:rsid w:val="00645F7C"/>
    <w:rsid w:val="00647591"/>
    <w:rsid w:val="00651614"/>
    <w:rsid w:val="006566EC"/>
    <w:rsid w:val="00661E6C"/>
    <w:rsid w:val="00663335"/>
    <w:rsid w:val="006637D7"/>
    <w:rsid w:val="00663C70"/>
    <w:rsid w:val="00666372"/>
    <w:rsid w:val="006678AD"/>
    <w:rsid w:val="0067075E"/>
    <w:rsid w:val="00672778"/>
    <w:rsid w:val="00674BC4"/>
    <w:rsid w:val="0067710F"/>
    <w:rsid w:val="00677551"/>
    <w:rsid w:val="00680BCE"/>
    <w:rsid w:val="00681B83"/>
    <w:rsid w:val="00684DD0"/>
    <w:rsid w:val="00686781"/>
    <w:rsid w:val="00686C85"/>
    <w:rsid w:val="006877CF"/>
    <w:rsid w:val="006908F4"/>
    <w:rsid w:val="00691EC7"/>
    <w:rsid w:val="00693D17"/>
    <w:rsid w:val="006A0C8E"/>
    <w:rsid w:val="006A6FB6"/>
    <w:rsid w:val="006B1632"/>
    <w:rsid w:val="006B731C"/>
    <w:rsid w:val="006C13F4"/>
    <w:rsid w:val="006C3DA3"/>
    <w:rsid w:val="006D28CE"/>
    <w:rsid w:val="006E0C47"/>
    <w:rsid w:val="006F26AF"/>
    <w:rsid w:val="006F2F36"/>
    <w:rsid w:val="006F32DC"/>
    <w:rsid w:val="006F5D80"/>
    <w:rsid w:val="006F6C5C"/>
    <w:rsid w:val="006F6C9F"/>
    <w:rsid w:val="00701007"/>
    <w:rsid w:val="007014C4"/>
    <w:rsid w:val="00701A8A"/>
    <w:rsid w:val="00702827"/>
    <w:rsid w:val="00703950"/>
    <w:rsid w:val="007043E8"/>
    <w:rsid w:val="00704719"/>
    <w:rsid w:val="00705B11"/>
    <w:rsid w:val="00707380"/>
    <w:rsid w:val="00711787"/>
    <w:rsid w:val="00713961"/>
    <w:rsid w:val="00720A28"/>
    <w:rsid w:val="00722299"/>
    <w:rsid w:val="00724F25"/>
    <w:rsid w:val="0072677F"/>
    <w:rsid w:val="00730458"/>
    <w:rsid w:val="0073523A"/>
    <w:rsid w:val="00735578"/>
    <w:rsid w:val="007355E9"/>
    <w:rsid w:val="0073713C"/>
    <w:rsid w:val="00741D4B"/>
    <w:rsid w:val="00742817"/>
    <w:rsid w:val="007475ED"/>
    <w:rsid w:val="00747A8B"/>
    <w:rsid w:val="00747A98"/>
    <w:rsid w:val="0075189E"/>
    <w:rsid w:val="00751E6E"/>
    <w:rsid w:val="007549EC"/>
    <w:rsid w:val="00760636"/>
    <w:rsid w:val="00762298"/>
    <w:rsid w:val="007717FE"/>
    <w:rsid w:val="0077599A"/>
    <w:rsid w:val="00780B18"/>
    <w:rsid w:val="00781C86"/>
    <w:rsid w:val="00784BE1"/>
    <w:rsid w:val="00785053"/>
    <w:rsid w:val="0078768E"/>
    <w:rsid w:val="00792DBF"/>
    <w:rsid w:val="00794113"/>
    <w:rsid w:val="00794729"/>
    <w:rsid w:val="007A05E5"/>
    <w:rsid w:val="007A06AF"/>
    <w:rsid w:val="007A3BF7"/>
    <w:rsid w:val="007B0ABB"/>
    <w:rsid w:val="007B0C12"/>
    <w:rsid w:val="007B1979"/>
    <w:rsid w:val="007B7CF5"/>
    <w:rsid w:val="007C790B"/>
    <w:rsid w:val="007C7D8F"/>
    <w:rsid w:val="007D1273"/>
    <w:rsid w:val="007D1604"/>
    <w:rsid w:val="007D2B5C"/>
    <w:rsid w:val="007D47D7"/>
    <w:rsid w:val="007D69F3"/>
    <w:rsid w:val="007D7EAD"/>
    <w:rsid w:val="007E0910"/>
    <w:rsid w:val="007E0DA4"/>
    <w:rsid w:val="007E2CB9"/>
    <w:rsid w:val="007E3DC2"/>
    <w:rsid w:val="007E4F03"/>
    <w:rsid w:val="007E553B"/>
    <w:rsid w:val="007F41C4"/>
    <w:rsid w:val="007F4524"/>
    <w:rsid w:val="007F5FA9"/>
    <w:rsid w:val="008030FD"/>
    <w:rsid w:val="00803C0A"/>
    <w:rsid w:val="00803D42"/>
    <w:rsid w:val="00804278"/>
    <w:rsid w:val="00804D49"/>
    <w:rsid w:val="00805E07"/>
    <w:rsid w:val="00807843"/>
    <w:rsid w:val="00810ABD"/>
    <w:rsid w:val="00811E9F"/>
    <w:rsid w:val="008123B7"/>
    <w:rsid w:val="00814CDD"/>
    <w:rsid w:val="00814EF3"/>
    <w:rsid w:val="00816222"/>
    <w:rsid w:val="008171AB"/>
    <w:rsid w:val="008225FA"/>
    <w:rsid w:val="00825791"/>
    <w:rsid w:val="0083043E"/>
    <w:rsid w:val="0083096E"/>
    <w:rsid w:val="00831786"/>
    <w:rsid w:val="00833636"/>
    <w:rsid w:val="008353DC"/>
    <w:rsid w:val="00837B34"/>
    <w:rsid w:val="00841279"/>
    <w:rsid w:val="00842C33"/>
    <w:rsid w:val="008431AB"/>
    <w:rsid w:val="00843CCB"/>
    <w:rsid w:val="00843E79"/>
    <w:rsid w:val="00847B83"/>
    <w:rsid w:val="008502DA"/>
    <w:rsid w:val="00850737"/>
    <w:rsid w:val="008519D9"/>
    <w:rsid w:val="008539AD"/>
    <w:rsid w:val="00863D62"/>
    <w:rsid w:val="00865408"/>
    <w:rsid w:val="00866B14"/>
    <w:rsid w:val="008722E4"/>
    <w:rsid w:val="008728F0"/>
    <w:rsid w:val="008736BE"/>
    <w:rsid w:val="00874A9A"/>
    <w:rsid w:val="00876B22"/>
    <w:rsid w:val="00880886"/>
    <w:rsid w:val="00880B2F"/>
    <w:rsid w:val="008824EA"/>
    <w:rsid w:val="0088669D"/>
    <w:rsid w:val="008918A0"/>
    <w:rsid w:val="008942DE"/>
    <w:rsid w:val="00896926"/>
    <w:rsid w:val="008969AF"/>
    <w:rsid w:val="008A2B7D"/>
    <w:rsid w:val="008B5C7F"/>
    <w:rsid w:val="008B5E17"/>
    <w:rsid w:val="008B6467"/>
    <w:rsid w:val="008C0A57"/>
    <w:rsid w:val="008C6330"/>
    <w:rsid w:val="008D6EAF"/>
    <w:rsid w:val="008E483D"/>
    <w:rsid w:val="008E60DB"/>
    <w:rsid w:val="008F0259"/>
    <w:rsid w:val="008F46C1"/>
    <w:rsid w:val="008F5B86"/>
    <w:rsid w:val="008F64DE"/>
    <w:rsid w:val="008F6C5C"/>
    <w:rsid w:val="009063FA"/>
    <w:rsid w:val="0091205C"/>
    <w:rsid w:val="009134A1"/>
    <w:rsid w:val="00916568"/>
    <w:rsid w:val="00917FA1"/>
    <w:rsid w:val="00922407"/>
    <w:rsid w:val="0092298B"/>
    <w:rsid w:val="00922E48"/>
    <w:rsid w:val="00923610"/>
    <w:rsid w:val="009240FD"/>
    <w:rsid w:val="009260CA"/>
    <w:rsid w:val="00926949"/>
    <w:rsid w:val="00930845"/>
    <w:rsid w:val="009310E3"/>
    <w:rsid w:val="00933F77"/>
    <w:rsid w:val="00936D2D"/>
    <w:rsid w:val="00944A58"/>
    <w:rsid w:val="00944BA3"/>
    <w:rsid w:val="00946908"/>
    <w:rsid w:val="00947355"/>
    <w:rsid w:val="00950463"/>
    <w:rsid w:val="009516D8"/>
    <w:rsid w:val="0095183D"/>
    <w:rsid w:val="00954949"/>
    <w:rsid w:val="00955397"/>
    <w:rsid w:val="00966ADA"/>
    <w:rsid w:val="00971B50"/>
    <w:rsid w:val="00972091"/>
    <w:rsid w:val="0097285D"/>
    <w:rsid w:val="009756F4"/>
    <w:rsid w:val="00975C64"/>
    <w:rsid w:val="00975C8F"/>
    <w:rsid w:val="00976C73"/>
    <w:rsid w:val="009826FD"/>
    <w:rsid w:val="00983A3E"/>
    <w:rsid w:val="00991B8B"/>
    <w:rsid w:val="0099710D"/>
    <w:rsid w:val="009A0CAB"/>
    <w:rsid w:val="009A0E4E"/>
    <w:rsid w:val="009A3A7A"/>
    <w:rsid w:val="009B3EE3"/>
    <w:rsid w:val="009B61BE"/>
    <w:rsid w:val="009C4974"/>
    <w:rsid w:val="009C743F"/>
    <w:rsid w:val="009D2A58"/>
    <w:rsid w:val="009D363F"/>
    <w:rsid w:val="009D70A3"/>
    <w:rsid w:val="009D7C64"/>
    <w:rsid w:val="009E2D40"/>
    <w:rsid w:val="009E4219"/>
    <w:rsid w:val="009F1E51"/>
    <w:rsid w:val="009F393A"/>
    <w:rsid w:val="009F468C"/>
    <w:rsid w:val="009F6186"/>
    <w:rsid w:val="00A027FB"/>
    <w:rsid w:val="00A029E4"/>
    <w:rsid w:val="00A06D63"/>
    <w:rsid w:val="00A10049"/>
    <w:rsid w:val="00A1180B"/>
    <w:rsid w:val="00A126C3"/>
    <w:rsid w:val="00A15596"/>
    <w:rsid w:val="00A16A66"/>
    <w:rsid w:val="00A17672"/>
    <w:rsid w:val="00A20FD7"/>
    <w:rsid w:val="00A22487"/>
    <w:rsid w:val="00A24876"/>
    <w:rsid w:val="00A3071E"/>
    <w:rsid w:val="00A30D0B"/>
    <w:rsid w:val="00A32F02"/>
    <w:rsid w:val="00A34E74"/>
    <w:rsid w:val="00A35E19"/>
    <w:rsid w:val="00A37D48"/>
    <w:rsid w:val="00A40BC4"/>
    <w:rsid w:val="00A57030"/>
    <w:rsid w:val="00A57E05"/>
    <w:rsid w:val="00A62356"/>
    <w:rsid w:val="00A64C33"/>
    <w:rsid w:val="00A66971"/>
    <w:rsid w:val="00A66B5D"/>
    <w:rsid w:val="00A715A6"/>
    <w:rsid w:val="00A72928"/>
    <w:rsid w:val="00A7719E"/>
    <w:rsid w:val="00A8765A"/>
    <w:rsid w:val="00A93559"/>
    <w:rsid w:val="00AA08A8"/>
    <w:rsid w:val="00AA2859"/>
    <w:rsid w:val="00AA39DB"/>
    <w:rsid w:val="00AA40CA"/>
    <w:rsid w:val="00AA74FE"/>
    <w:rsid w:val="00AB3126"/>
    <w:rsid w:val="00AB4E5B"/>
    <w:rsid w:val="00AB5E1E"/>
    <w:rsid w:val="00AB6744"/>
    <w:rsid w:val="00AC061D"/>
    <w:rsid w:val="00AC7AC4"/>
    <w:rsid w:val="00AD008B"/>
    <w:rsid w:val="00AD45AA"/>
    <w:rsid w:val="00AD4C05"/>
    <w:rsid w:val="00AD5322"/>
    <w:rsid w:val="00AD717B"/>
    <w:rsid w:val="00AE2E6B"/>
    <w:rsid w:val="00AE3183"/>
    <w:rsid w:val="00AE3B7C"/>
    <w:rsid w:val="00AE5211"/>
    <w:rsid w:val="00AE5C88"/>
    <w:rsid w:val="00AE61A7"/>
    <w:rsid w:val="00AE6331"/>
    <w:rsid w:val="00AE6A9E"/>
    <w:rsid w:val="00AE7138"/>
    <w:rsid w:val="00AF1241"/>
    <w:rsid w:val="00AF1717"/>
    <w:rsid w:val="00AF1E85"/>
    <w:rsid w:val="00AF6613"/>
    <w:rsid w:val="00B010EB"/>
    <w:rsid w:val="00B02022"/>
    <w:rsid w:val="00B07FF7"/>
    <w:rsid w:val="00B10D43"/>
    <w:rsid w:val="00B11A59"/>
    <w:rsid w:val="00B16CB6"/>
    <w:rsid w:val="00B215A0"/>
    <w:rsid w:val="00B22176"/>
    <w:rsid w:val="00B260EF"/>
    <w:rsid w:val="00B30120"/>
    <w:rsid w:val="00B304AE"/>
    <w:rsid w:val="00B31647"/>
    <w:rsid w:val="00B343B2"/>
    <w:rsid w:val="00B3671A"/>
    <w:rsid w:val="00B40532"/>
    <w:rsid w:val="00B41C81"/>
    <w:rsid w:val="00B4316B"/>
    <w:rsid w:val="00B43A47"/>
    <w:rsid w:val="00B4516F"/>
    <w:rsid w:val="00B51770"/>
    <w:rsid w:val="00B529D2"/>
    <w:rsid w:val="00B52B42"/>
    <w:rsid w:val="00B535B0"/>
    <w:rsid w:val="00B54F7B"/>
    <w:rsid w:val="00B61A6E"/>
    <w:rsid w:val="00B623DA"/>
    <w:rsid w:val="00B6244F"/>
    <w:rsid w:val="00B62E9E"/>
    <w:rsid w:val="00B67239"/>
    <w:rsid w:val="00B67248"/>
    <w:rsid w:val="00B711DA"/>
    <w:rsid w:val="00B74FA5"/>
    <w:rsid w:val="00B759BA"/>
    <w:rsid w:val="00B75BF8"/>
    <w:rsid w:val="00B76235"/>
    <w:rsid w:val="00B76B99"/>
    <w:rsid w:val="00B82FBC"/>
    <w:rsid w:val="00B840E4"/>
    <w:rsid w:val="00B86E32"/>
    <w:rsid w:val="00B87C89"/>
    <w:rsid w:val="00B93C88"/>
    <w:rsid w:val="00BA672E"/>
    <w:rsid w:val="00BB07A9"/>
    <w:rsid w:val="00BB5DA1"/>
    <w:rsid w:val="00BB6919"/>
    <w:rsid w:val="00BB77C3"/>
    <w:rsid w:val="00BC04B0"/>
    <w:rsid w:val="00BC1146"/>
    <w:rsid w:val="00BC2032"/>
    <w:rsid w:val="00BC2A9D"/>
    <w:rsid w:val="00BC4D2E"/>
    <w:rsid w:val="00BD21C5"/>
    <w:rsid w:val="00BD2534"/>
    <w:rsid w:val="00BD2AC6"/>
    <w:rsid w:val="00BE1DD1"/>
    <w:rsid w:val="00BE49B4"/>
    <w:rsid w:val="00BE6916"/>
    <w:rsid w:val="00BF1727"/>
    <w:rsid w:val="00C0242B"/>
    <w:rsid w:val="00C028DE"/>
    <w:rsid w:val="00C02ECC"/>
    <w:rsid w:val="00C03C4D"/>
    <w:rsid w:val="00C03F4A"/>
    <w:rsid w:val="00C04A11"/>
    <w:rsid w:val="00C123CF"/>
    <w:rsid w:val="00C14801"/>
    <w:rsid w:val="00C149F0"/>
    <w:rsid w:val="00C16DC8"/>
    <w:rsid w:val="00C17317"/>
    <w:rsid w:val="00C23B06"/>
    <w:rsid w:val="00C24085"/>
    <w:rsid w:val="00C36C72"/>
    <w:rsid w:val="00C41243"/>
    <w:rsid w:val="00C418F0"/>
    <w:rsid w:val="00C42FC0"/>
    <w:rsid w:val="00C51698"/>
    <w:rsid w:val="00C53127"/>
    <w:rsid w:val="00C56EE3"/>
    <w:rsid w:val="00C62119"/>
    <w:rsid w:val="00C63F33"/>
    <w:rsid w:val="00C63F90"/>
    <w:rsid w:val="00C65325"/>
    <w:rsid w:val="00C704A7"/>
    <w:rsid w:val="00C74271"/>
    <w:rsid w:val="00C776AC"/>
    <w:rsid w:val="00C808D1"/>
    <w:rsid w:val="00C8127A"/>
    <w:rsid w:val="00C82060"/>
    <w:rsid w:val="00C830F7"/>
    <w:rsid w:val="00C85977"/>
    <w:rsid w:val="00C87B76"/>
    <w:rsid w:val="00C87EDF"/>
    <w:rsid w:val="00C909B5"/>
    <w:rsid w:val="00C92719"/>
    <w:rsid w:val="00C92B73"/>
    <w:rsid w:val="00C9324A"/>
    <w:rsid w:val="00C9433E"/>
    <w:rsid w:val="00C95315"/>
    <w:rsid w:val="00C955C7"/>
    <w:rsid w:val="00CA01BB"/>
    <w:rsid w:val="00CA18D0"/>
    <w:rsid w:val="00CA55A8"/>
    <w:rsid w:val="00CA734F"/>
    <w:rsid w:val="00CA7D9D"/>
    <w:rsid w:val="00CB0B89"/>
    <w:rsid w:val="00CB1FFF"/>
    <w:rsid w:val="00CB2D5B"/>
    <w:rsid w:val="00CB7D6E"/>
    <w:rsid w:val="00CC091B"/>
    <w:rsid w:val="00CC09CA"/>
    <w:rsid w:val="00CD2E60"/>
    <w:rsid w:val="00CD38E3"/>
    <w:rsid w:val="00CD3E1C"/>
    <w:rsid w:val="00CE0AC7"/>
    <w:rsid w:val="00CE0C68"/>
    <w:rsid w:val="00CE258E"/>
    <w:rsid w:val="00CE653E"/>
    <w:rsid w:val="00CE66F9"/>
    <w:rsid w:val="00CE67E0"/>
    <w:rsid w:val="00CE69CD"/>
    <w:rsid w:val="00CE6F03"/>
    <w:rsid w:val="00CF0BBB"/>
    <w:rsid w:val="00CF22B4"/>
    <w:rsid w:val="00CF3D30"/>
    <w:rsid w:val="00CF5E17"/>
    <w:rsid w:val="00CF6B43"/>
    <w:rsid w:val="00CF7CCB"/>
    <w:rsid w:val="00D00B1D"/>
    <w:rsid w:val="00D0595C"/>
    <w:rsid w:val="00D0748C"/>
    <w:rsid w:val="00D11D35"/>
    <w:rsid w:val="00D120B0"/>
    <w:rsid w:val="00D14770"/>
    <w:rsid w:val="00D251EA"/>
    <w:rsid w:val="00D34515"/>
    <w:rsid w:val="00D34970"/>
    <w:rsid w:val="00D34F60"/>
    <w:rsid w:val="00D40773"/>
    <w:rsid w:val="00D459D7"/>
    <w:rsid w:val="00D46AAC"/>
    <w:rsid w:val="00D478CD"/>
    <w:rsid w:val="00D547C0"/>
    <w:rsid w:val="00D547F7"/>
    <w:rsid w:val="00D604E8"/>
    <w:rsid w:val="00D60D69"/>
    <w:rsid w:val="00D63328"/>
    <w:rsid w:val="00D73AC6"/>
    <w:rsid w:val="00D77304"/>
    <w:rsid w:val="00D777B8"/>
    <w:rsid w:val="00D80539"/>
    <w:rsid w:val="00D80B5A"/>
    <w:rsid w:val="00D80EAA"/>
    <w:rsid w:val="00D81696"/>
    <w:rsid w:val="00D84B39"/>
    <w:rsid w:val="00D85634"/>
    <w:rsid w:val="00D9219F"/>
    <w:rsid w:val="00D927DF"/>
    <w:rsid w:val="00D92FF8"/>
    <w:rsid w:val="00D945B6"/>
    <w:rsid w:val="00D9460D"/>
    <w:rsid w:val="00D94CEF"/>
    <w:rsid w:val="00D95795"/>
    <w:rsid w:val="00D95A63"/>
    <w:rsid w:val="00DA0239"/>
    <w:rsid w:val="00DA05B5"/>
    <w:rsid w:val="00DA083A"/>
    <w:rsid w:val="00DA3FCE"/>
    <w:rsid w:val="00DA7374"/>
    <w:rsid w:val="00DB0AD8"/>
    <w:rsid w:val="00DB3D8F"/>
    <w:rsid w:val="00DB40FB"/>
    <w:rsid w:val="00DB6E03"/>
    <w:rsid w:val="00DC1571"/>
    <w:rsid w:val="00DC4580"/>
    <w:rsid w:val="00DC4D95"/>
    <w:rsid w:val="00DC6520"/>
    <w:rsid w:val="00DC6B51"/>
    <w:rsid w:val="00DD08FA"/>
    <w:rsid w:val="00DD1F6E"/>
    <w:rsid w:val="00DD34F6"/>
    <w:rsid w:val="00DD3A14"/>
    <w:rsid w:val="00DD46FE"/>
    <w:rsid w:val="00DD5038"/>
    <w:rsid w:val="00DD6552"/>
    <w:rsid w:val="00DE0DC2"/>
    <w:rsid w:val="00DE1CC6"/>
    <w:rsid w:val="00DE2211"/>
    <w:rsid w:val="00DE2F41"/>
    <w:rsid w:val="00DF05B2"/>
    <w:rsid w:val="00DF3074"/>
    <w:rsid w:val="00DF5BFD"/>
    <w:rsid w:val="00DF7BB5"/>
    <w:rsid w:val="00E01CBF"/>
    <w:rsid w:val="00E0404E"/>
    <w:rsid w:val="00E05A12"/>
    <w:rsid w:val="00E05A82"/>
    <w:rsid w:val="00E061A7"/>
    <w:rsid w:val="00E11383"/>
    <w:rsid w:val="00E17A9D"/>
    <w:rsid w:val="00E21621"/>
    <w:rsid w:val="00E2199A"/>
    <w:rsid w:val="00E22CE4"/>
    <w:rsid w:val="00E23C8D"/>
    <w:rsid w:val="00E3600F"/>
    <w:rsid w:val="00E36CAF"/>
    <w:rsid w:val="00E448FB"/>
    <w:rsid w:val="00E44FD7"/>
    <w:rsid w:val="00E45161"/>
    <w:rsid w:val="00E45B36"/>
    <w:rsid w:val="00E47ACB"/>
    <w:rsid w:val="00E47D3E"/>
    <w:rsid w:val="00E47E6E"/>
    <w:rsid w:val="00E50BDF"/>
    <w:rsid w:val="00E50F7F"/>
    <w:rsid w:val="00E55591"/>
    <w:rsid w:val="00E56FCA"/>
    <w:rsid w:val="00E6004C"/>
    <w:rsid w:val="00E605BC"/>
    <w:rsid w:val="00E60D95"/>
    <w:rsid w:val="00E6221F"/>
    <w:rsid w:val="00E62FFD"/>
    <w:rsid w:val="00E70121"/>
    <w:rsid w:val="00E75362"/>
    <w:rsid w:val="00E806D2"/>
    <w:rsid w:val="00E8545F"/>
    <w:rsid w:val="00E85600"/>
    <w:rsid w:val="00E90F24"/>
    <w:rsid w:val="00E93542"/>
    <w:rsid w:val="00E943D4"/>
    <w:rsid w:val="00EA057A"/>
    <w:rsid w:val="00EA4ECB"/>
    <w:rsid w:val="00EA6468"/>
    <w:rsid w:val="00EA67D9"/>
    <w:rsid w:val="00EB2CCB"/>
    <w:rsid w:val="00EB5F67"/>
    <w:rsid w:val="00EB73AF"/>
    <w:rsid w:val="00EC2AB6"/>
    <w:rsid w:val="00EC6161"/>
    <w:rsid w:val="00ED183D"/>
    <w:rsid w:val="00ED721D"/>
    <w:rsid w:val="00ED7973"/>
    <w:rsid w:val="00EE15A5"/>
    <w:rsid w:val="00EE16B3"/>
    <w:rsid w:val="00EE1B2A"/>
    <w:rsid w:val="00EE273C"/>
    <w:rsid w:val="00EE3C03"/>
    <w:rsid w:val="00EE576B"/>
    <w:rsid w:val="00EE5E95"/>
    <w:rsid w:val="00EE7E92"/>
    <w:rsid w:val="00EE7EE3"/>
    <w:rsid w:val="00EF0A50"/>
    <w:rsid w:val="00EF3C58"/>
    <w:rsid w:val="00EF6B4B"/>
    <w:rsid w:val="00F001C9"/>
    <w:rsid w:val="00F03D5B"/>
    <w:rsid w:val="00F11608"/>
    <w:rsid w:val="00F11A55"/>
    <w:rsid w:val="00F1424C"/>
    <w:rsid w:val="00F2413C"/>
    <w:rsid w:val="00F2693B"/>
    <w:rsid w:val="00F339EA"/>
    <w:rsid w:val="00F341E9"/>
    <w:rsid w:val="00F355AD"/>
    <w:rsid w:val="00F36FB1"/>
    <w:rsid w:val="00F40DA7"/>
    <w:rsid w:val="00F460A8"/>
    <w:rsid w:val="00F46CC4"/>
    <w:rsid w:val="00F50E51"/>
    <w:rsid w:val="00F54807"/>
    <w:rsid w:val="00F55E8D"/>
    <w:rsid w:val="00F60A0B"/>
    <w:rsid w:val="00F655E1"/>
    <w:rsid w:val="00F70C17"/>
    <w:rsid w:val="00F7103D"/>
    <w:rsid w:val="00F73E83"/>
    <w:rsid w:val="00F7431E"/>
    <w:rsid w:val="00F7554B"/>
    <w:rsid w:val="00F75655"/>
    <w:rsid w:val="00F76A38"/>
    <w:rsid w:val="00F76A92"/>
    <w:rsid w:val="00F8003D"/>
    <w:rsid w:val="00F82C25"/>
    <w:rsid w:val="00F8398D"/>
    <w:rsid w:val="00F85287"/>
    <w:rsid w:val="00F857B2"/>
    <w:rsid w:val="00F85EA7"/>
    <w:rsid w:val="00F874DF"/>
    <w:rsid w:val="00F87A77"/>
    <w:rsid w:val="00F87B29"/>
    <w:rsid w:val="00F915CE"/>
    <w:rsid w:val="00F9271D"/>
    <w:rsid w:val="00F96167"/>
    <w:rsid w:val="00FA4D00"/>
    <w:rsid w:val="00FA673E"/>
    <w:rsid w:val="00FB12A4"/>
    <w:rsid w:val="00FB28D3"/>
    <w:rsid w:val="00FB4977"/>
    <w:rsid w:val="00FB7743"/>
    <w:rsid w:val="00FC095C"/>
    <w:rsid w:val="00FC1B80"/>
    <w:rsid w:val="00FC1E66"/>
    <w:rsid w:val="00FC2625"/>
    <w:rsid w:val="00FD04DC"/>
    <w:rsid w:val="00FD4198"/>
    <w:rsid w:val="00FD64C2"/>
    <w:rsid w:val="00FE1BC2"/>
    <w:rsid w:val="00FF5051"/>
    <w:rsid w:val="00FF6E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9DE9"/>
  <w15:chartTrackingRefBased/>
  <w15:docId w15:val="{AB65D6FD-5696-4FED-AA2A-6A5144E3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D3"/>
    <w:rPr>
      <w:rFonts w:eastAsiaTheme="majorEastAsia" w:cstheme="majorBidi"/>
      <w:color w:val="272727" w:themeColor="text1" w:themeTint="D8"/>
    </w:rPr>
  </w:style>
  <w:style w:type="paragraph" w:styleId="Title">
    <w:name w:val="Title"/>
    <w:basedOn w:val="Normal"/>
    <w:next w:val="Normal"/>
    <w:link w:val="TitleChar"/>
    <w:uiPriority w:val="10"/>
    <w:qFormat/>
    <w:rsid w:val="00486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D3"/>
    <w:pPr>
      <w:spacing w:before="160"/>
      <w:jc w:val="center"/>
    </w:pPr>
    <w:rPr>
      <w:i/>
      <w:iCs/>
      <w:color w:val="404040" w:themeColor="text1" w:themeTint="BF"/>
    </w:rPr>
  </w:style>
  <w:style w:type="character" w:customStyle="1" w:styleId="QuoteChar">
    <w:name w:val="Quote Char"/>
    <w:basedOn w:val="DefaultParagraphFont"/>
    <w:link w:val="Quote"/>
    <w:uiPriority w:val="29"/>
    <w:rsid w:val="004862D3"/>
    <w:rPr>
      <w:i/>
      <w:iCs/>
      <w:color w:val="404040" w:themeColor="text1" w:themeTint="BF"/>
    </w:rPr>
  </w:style>
  <w:style w:type="paragraph" w:styleId="ListParagraph">
    <w:name w:val="List Paragraph"/>
    <w:basedOn w:val="Normal"/>
    <w:uiPriority w:val="34"/>
    <w:qFormat/>
    <w:rsid w:val="004862D3"/>
    <w:pPr>
      <w:ind w:left="720"/>
      <w:contextualSpacing/>
    </w:pPr>
  </w:style>
  <w:style w:type="character" w:styleId="IntenseEmphasis">
    <w:name w:val="Intense Emphasis"/>
    <w:basedOn w:val="DefaultParagraphFont"/>
    <w:uiPriority w:val="21"/>
    <w:qFormat/>
    <w:rsid w:val="004862D3"/>
    <w:rPr>
      <w:i/>
      <w:iCs/>
      <w:color w:val="2F5496" w:themeColor="accent1" w:themeShade="BF"/>
    </w:rPr>
  </w:style>
  <w:style w:type="paragraph" w:styleId="IntenseQuote">
    <w:name w:val="Intense Quote"/>
    <w:basedOn w:val="Normal"/>
    <w:next w:val="Normal"/>
    <w:link w:val="IntenseQuoteChar"/>
    <w:uiPriority w:val="30"/>
    <w:qFormat/>
    <w:rsid w:val="00486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2D3"/>
    <w:rPr>
      <w:i/>
      <w:iCs/>
      <w:color w:val="2F5496" w:themeColor="accent1" w:themeShade="BF"/>
    </w:rPr>
  </w:style>
  <w:style w:type="character" w:styleId="IntenseReference">
    <w:name w:val="Intense Reference"/>
    <w:basedOn w:val="DefaultParagraphFont"/>
    <w:uiPriority w:val="32"/>
    <w:qFormat/>
    <w:rsid w:val="004862D3"/>
    <w:rPr>
      <w:b/>
      <w:bCs/>
      <w:smallCaps/>
      <w:color w:val="2F5496" w:themeColor="accent1" w:themeShade="BF"/>
      <w:spacing w:val="5"/>
    </w:rPr>
  </w:style>
  <w:style w:type="paragraph" w:styleId="Header">
    <w:name w:val="header"/>
    <w:basedOn w:val="Normal"/>
    <w:link w:val="HeaderChar"/>
    <w:uiPriority w:val="99"/>
    <w:unhideWhenUsed/>
    <w:rsid w:val="00566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250"/>
  </w:style>
  <w:style w:type="paragraph" w:styleId="Footer">
    <w:name w:val="footer"/>
    <w:basedOn w:val="Normal"/>
    <w:link w:val="FooterChar"/>
    <w:uiPriority w:val="99"/>
    <w:unhideWhenUsed/>
    <w:rsid w:val="00566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250"/>
  </w:style>
  <w:style w:type="paragraph" w:styleId="FootnoteText">
    <w:name w:val="footnote text"/>
    <w:basedOn w:val="Normal"/>
    <w:link w:val="FootnoteTextChar"/>
    <w:uiPriority w:val="99"/>
    <w:semiHidden/>
    <w:unhideWhenUsed/>
    <w:rsid w:val="00DF05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05B2"/>
    <w:rPr>
      <w:sz w:val="20"/>
      <w:szCs w:val="20"/>
    </w:rPr>
  </w:style>
  <w:style w:type="character" w:styleId="FootnoteReference">
    <w:name w:val="footnote reference"/>
    <w:basedOn w:val="DefaultParagraphFont"/>
    <w:uiPriority w:val="99"/>
    <w:semiHidden/>
    <w:unhideWhenUsed/>
    <w:rsid w:val="00DF05B2"/>
    <w:rPr>
      <w:vertAlign w:val="superscript"/>
    </w:rPr>
  </w:style>
  <w:style w:type="character" w:styleId="Hyperlink">
    <w:name w:val="Hyperlink"/>
    <w:basedOn w:val="DefaultParagraphFont"/>
    <w:uiPriority w:val="99"/>
    <w:unhideWhenUsed/>
    <w:rsid w:val="00663C70"/>
    <w:rPr>
      <w:color w:val="0563C1" w:themeColor="hyperlink"/>
      <w:u w:val="single"/>
    </w:rPr>
  </w:style>
  <w:style w:type="character" w:styleId="UnresolvedMention">
    <w:name w:val="Unresolved Mention"/>
    <w:basedOn w:val="DefaultParagraphFont"/>
    <w:uiPriority w:val="99"/>
    <w:semiHidden/>
    <w:unhideWhenUsed/>
    <w:rsid w:val="00663C70"/>
    <w:rPr>
      <w:color w:val="605E5C"/>
      <w:shd w:val="clear" w:color="auto" w:fill="E1DFDD"/>
    </w:rPr>
  </w:style>
  <w:style w:type="character" w:styleId="CommentReference">
    <w:name w:val="annotation reference"/>
    <w:basedOn w:val="DefaultParagraphFont"/>
    <w:uiPriority w:val="99"/>
    <w:semiHidden/>
    <w:unhideWhenUsed/>
    <w:rsid w:val="00DA3FCE"/>
    <w:rPr>
      <w:sz w:val="16"/>
      <w:szCs w:val="16"/>
    </w:rPr>
  </w:style>
  <w:style w:type="paragraph" w:styleId="CommentText">
    <w:name w:val="annotation text"/>
    <w:basedOn w:val="Normal"/>
    <w:link w:val="CommentTextChar"/>
    <w:uiPriority w:val="99"/>
    <w:unhideWhenUsed/>
    <w:rsid w:val="00DA3FCE"/>
    <w:pPr>
      <w:spacing w:line="240" w:lineRule="auto"/>
    </w:pPr>
    <w:rPr>
      <w:sz w:val="20"/>
      <w:szCs w:val="20"/>
    </w:rPr>
  </w:style>
  <w:style w:type="character" w:customStyle="1" w:styleId="CommentTextChar">
    <w:name w:val="Comment Text Char"/>
    <w:basedOn w:val="DefaultParagraphFont"/>
    <w:link w:val="CommentText"/>
    <w:uiPriority w:val="99"/>
    <w:rsid w:val="00DA3FCE"/>
    <w:rPr>
      <w:sz w:val="20"/>
      <w:szCs w:val="20"/>
    </w:rPr>
  </w:style>
  <w:style w:type="paragraph" w:styleId="CommentSubject">
    <w:name w:val="annotation subject"/>
    <w:basedOn w:val="CommentText"/>
    <w:next w:val="CommentText"/>
    <w:link w:val="CommentSubjectChar"/>
    <w:uiPriority w:val="99"/>
    <w:semiHidden/>
    <w:unhideWhenUsed/>
    <w:rsid w:val="00DA3FCE"/>
    <w:rPr>
      <w:b/>
      <w:bCs/>
    </w:rPr>
  </w:style>
  <w:style w:type="character" w:customStyle="1" w:styleId="CommentSubjectChar">
    <w:name w:val="Comment Subject Char"/>
    <w:basedOn w:val="CommentTextChar"/>
    <w:link w:val="CommentSubject"/>
    <w:uiPriority w:val="99"/>
    <w:semiHidden/>
    <w:rsid w:val="00DA3FCE"/>
    <w:rPr>
      <w:b/>
      <w:bCs/>
      <w:sz w:val="20"/>
      <w:szCs w:val="20"/>
    </w:rPr>
  </w:style>
  <w:style w:type="paragraph" w:styleId="Revision">
    <w:name w:val="Revision"/>
    <w:hidden/>
    <w:uiPriority w:val="99"/>
    <w:semiHidden/>
    <w:rsid w:val="00441CA3"/>
    <w:pPr>
      <w:spacing w:after="0" w:line="240" w:lineRule="auto"/>
    </w:pPr>
  </w:style>
  <w:style w:type="table" w:styleId="TableGrid">
    <w:name w:val="Table Grid"/>
    <w:basedOn w:val="TableNormal"/>
    <w:uiPriority w:val="39"/>
    <w:rsid w:val="005516B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4A11"/>
    <w:rPr>
      <w:color w:val="954F72" w:themeColor="followedHyperlink"/>
      <w:u w:val="single"/>
    </w:rPr>
  </w:style>
  <w:style w:type="table" w:styleId="PlainTable2">
    <w:name w:val="Plain Table 2"/>
    <w:basedOn w:val="TableNormal"/>
    <w:uiPriority w:val="42"/>
    <w:rsid w:val="004540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phy">
    <w:name w:val="Bibliography"/>
    <w:basedOn w:val="Normal"/>
    <w:next w:val="Normal"/>
    <w:uiPriority w:val="37"/>
    <w:unhideWhenUsed/>
    <w:rsid w:val="00E85600"/>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2349">
      <w:bodyDiv w:val="1"/>
      <w:marLeft w:val="0"/>
      <w:marRight w:val="0"/>
      <w:marTop w:val="0"/>
      <w:marBottom w:val="0"/>
      <w:divBdr>
        <w:top w:val="none" w:sz="0" w:space="0" w:color="auto"/>
        <w:left w:val="none" w:sz="0" w:space="0" w:color="auto"/>
        <w:bottom w:val="none" w:sz="0" w:space="0" w:color="auto"/>
        <w:right w:val="none" w:sz="0" w:space="0" w:color="auto"/>
      </w:divBdr>
    </w:div>
    <w:div w:id="1190488464">
      <w:bodyDiv w:val="1"/>
      <w:marLeft w:val="0"/>
      <w:marRight w:val="0"/>
      <w:marTop w:val="0"/>
      <w:marBottom w:val="0"/>
      <w:divBdr>
        <w:top w:val="none" w:sz="0" w:space="0" w:color="auto"/>
        <w:left w:val="none" w:sz="0" w:space="0" w:color="auto"/>
        <w:bottom w:val="none" w:sz="0" w:space="0" w:color="auto"/>
        <w:right w:val="none" w:sz="0" w:space="0" w:color="auto"/>
      </w:divBdr>
    </w:div>
    <w:div w:id="1413970625">
      <w:bodyDiv w:val="1"/>
      <w:marLeft w:val="0"/>
      <w:marRight w:val="0"/>
      <w:marTop w:val="0"/>
      <w:marBottom w:val="0"/>
      <w:divBdr>
        <w:top w:val="none" w:sz="0" w:space="0" w:color="auto"/>
        <w:left w:val="none" w:sz="0" w:space="0" w:color="auto"/>
        <w:bottom w:val="none" w:sz="0" w:space="0" w:color="auto"/>
        <w:right w:val="none" w:sz="0" w:space="0" w:color="auto"/>
      </w:divBdr>
    </w:div>
    <w:div w:id="1631208625">
      <w:bodyDiv w:val="1"/>
      <w:marLeft w:val="0"/>
      <w:marRight w:val="0"/>
      <w:marTop w:val="0"/>
      <w:marBottom w:val="0"/>
      <w:divBdr>
        <w:top w:val="none" w:sz="0" w:space="0" w:color="auto"/>
        <w:left w:val="none" w:sz="0" w:space="0" w:color="auto"/>
        <w:bottom w:val="none" w:sz="0" w:space="0" w:color="auto"/>
        <w:right w:val="none" w:sz="0" w:space="0" w:color="auto"/>
      </w:divBdr>
    </w:div>
    <w:div w:id="1852571885">
      <w:bodyDiv w:val="1"/>
      <w:marLeft w:val="0"/>
      <w:marRight w:val="0"/>
      <w:marTop w:val="0"/>
      <w:marBottom w:val="0"/>
      <w:divBdr>
        <w:top w:val="none" w:sz="0" w:space="0" w:color="auto"/>
        <w:left w:val="none" w:sz="0" w:space="0" w:color="auto"/>
        <w:bottom w:val="none" w:sz="0" w:space="0" w:color="auto"/>
        <w:right w:val="none" w:sz="0" w:space="0" w:color="auto"/>
      </w:divBdr>
    </w:div>
    <w:div w:id="186189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gel@albany.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idlhy0218.github.io/Concentrated-Disadvantage-Index/" TargetMode="External"/><Relationship Id="rId4" Type="http://schemas.openxmlformats.org/officeDocument/2006/relationships/settings" Target="settings.xml"/><Relationship Id="rId9" Type="http://schemas.openxmlformats.org/officeDocument/2006/relationships/hyperlink" Target="https://www.americanviolence.org"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atsdr.cdc.gov/place-health/php/sv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7B499-08A0-44B5-996C-21838E52F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35</Pages>
  <Words>29060</Words>
  <Characters>171750</Characters>
  <Application>Microsoft Office Word</Application>
  <DocSecurity>0</DocSecurity>
  <Lines>4641</Lines>
  <Paragraphs>2049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Vogel, Matt</dc:creator>
  <cp:keywords/>
  <dc:description/>
  <cp:lastModifiedBy>Heeyoung Lee</cp:lastModifiedBy>
  <cp:revision>82</cp:revision>
  <cp:lastPrinted>2026-01-22T15:48:00Z</cp:lastPrinted>
  <dcterms:created xsi:type="dcterms:W3CDTF">2026-05-12T16:16:00Z</dcterms:created>
  <dcterms:modified xsi:type="dcterms:W3CDTF">2026-06-03T08:23:00Z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id="4W6YWpvK"/&gt;&lt;style id="http://www.zotero.org/styles/elsevier-vancouver-short-author-list" hasBibliography="1" bibliographyStyleHasBeenSet="1"/&gt;&lt;prefs&gt;&lt;pref name="fieldType" value="Field"/&gt;&lt;/prefs&gt;&lt;</vt:lpwstr>
  </property>
  <property fmtid="{D5CDD505-2E9C-101B-9397-08002B2CF9AE}" pid="3" name="ZOTERO_PREF_2">
    <vt:lpwstr>/data&gt;</vt:lpwstr>
  </property>
</Properties>
</file>