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87C5" w14:textId="77777777" w:rsidR="001C510E" w:rsidRPr="001C510E" w:rsidRDefault="001C510E" w:rsidP="001C51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Núcleo de Conocimiento Base para el Modelo de IA</w:t>
      </w:r>
    </w:p>
    <w:p w14:paraId="4A894EAF" w14:textId="77777777" w:rsidR="001C510E" w:rsidRPr="001C510E" w:rsidRDefault="001C510E" w:rsidP="001C5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Módulo I: Marco Conceptual y Lógica del Trámite</w:t>
      </w:r>
    </w:p>
    <w:p w14:paraId="109C594F" w14:textId="77777777" w:rsidR="001C510E" w:rsidRPr="001C510E" w:rsidRDefault="001C510E" w:rsidP="001C5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 Definición Operativa</w:t>
      </w: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Licencia de Funcionamiento es el acto administrativo mediante el cual la autoridad municipal autoriza el desarrollo de actividades económicas (comerciales, industriales o de servicios) en un establecimiento determinado. Es una autorización de carácter real —asociada a la edificación y a la actividad—, de vigencia indeterminada salvo excepciones expresamente reguladas (como autorizaciones temporales).</w:t>
      </w:r>
    </w:p>
    <w:p w14:paraId="591AD4FC" w14:textId="77777777" w:rsidR="001C510E" w:rsidRPr="001C510E" w:rsidRDefault="001C510E" w:rsidP="001C5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2. Principios de Evaluación Operativa</w:t>
      </w: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Toda consulta procesada por el sistema debe filtrar el caso bajo tres variables de compatibilidad técnica:</w:t>
      </w:r>
    </w:p>
    <w:p w14:paraId="7569A49B" w14:textId="29132619" w:rsidR="001C510E" w:rsidRDefault="001C510E" w:rsidP="001C5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Zonificación y Uso del Suelo:</w:t>
      </w: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Verificación de la compatibilidad del giro pretendido con la clasificación urbana del predio según el Plan de Desarrollo Urbano municipal.</w:t>
      </w:r>
    </w:p>
    <w:p w14:paraId="5EA94E0B" w14:textId="67FB9634" w:rsidR="004434BF" w:rsidRDefault="004434BF" w:rsidP="004434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5" w:history="1">
        <w:r w:rsidRPr="008E77AF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PE"/>
          </w:rPr>
          <w:t>https://experience.arcgis.com/experience/9bf8fbedd99c4b2daae0d421caa33583</w:t>
        </w:r>
      </w:hyperlink>
    </w:p>
    <w:p w14:paraId="70DCBF13" w14:textId="77777777" w:rsidR="001C510E" w:rsidRPr="001C510E" w:rsidRDefault="001C510E" w:rsidP="001C5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Nivel de Riesgo en Seguridad (ITSE):</w:t>
      </w: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Determinación de la complejidad de las condiciones de seguridad en edificación (Riesgo Bajo, Medio, Alto o Muy Alto), lo cual define si la inspección es posterior o previa a la emisión de la licencia.</w:t>
      </w:r>
    </w:p>
    <w:p w14:paraId="5F9B23FA" w14:textId="77777777" w:rsidR="001C510E" w:rsidRPr="001C510E" w:rsidRDefault="001C510E" w:rsidP="001C5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Aforo y Área:</w:t>
      </w: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Relación métrica del establecimiento que determina la escala de impacto urbano y las exigencias técnicas de evacuación.</w:t>
      </w:r>
    </w:p>
    <w:p w14:paraId="5DC01332" w14:textId="77777777" w:rsidR="001C510E" w:rsidRPr="001C510E" w:rsidRDefault="001C510E" w:rsidP="001C5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Módulo II: Requisitos Generales Obligatorios (Matriz Estándar Municipal)</w:t>
      </w:r>
    </w:p>
    <w:p w14:paraId="2CAD5C27" w14:textId="77777777" w:rsidR="001C510E" w:rsidRPr="001C510E" w:rsidRDefault="001C510E" w:rsidP="001C5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Para que la IA proceda con el análisis de viabilidad, exigirá y validará la existencia de los siguientes requisitos transversales a todo gobierno local:</w:t>
      </w:r>
    </w:p>
    <w:p w14:paraId="11B508BB" w14:textId="77777777" w:rsidR="001C510E" w:rsidRPr="001C510E" w:rsidRDefault="001C510E" w:rsidP="001C5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Identificación del Titular:</w:t>
      </w:r>
    </w:p>
    <w:p w14:paraId="691CA920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Declaración Jurada de RUC (estado Activo y Habido).</w:t>
      </w:r>
    </w:p>
    <w:p w14:paraId="0B911D80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Documento de Identidad del titular o representante legal.</w:t>
      </w:r>
    </w:p>
    <w:p w14:paraId="5925680D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Vigencia de Poder emitida por la oficina registral correspondiente (en caso de personas jurídicas).</w:t>
      </w:r>
    </w:p>
    <w:p w14:paraId="0B15AF8A" w14:textId="77777777" w:rsidR="001C510E" w:rsidRPr="001C510E" w:rsidRDefault="001C510E" w:rsidP="001C5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Acreditación de Posesión Legítima del Predio:</w:t>
      </w:r>
    </w:p>
    <w:p w14:paraId="59FBFB6D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Declaración Jurada o documento que acredite la propiedad, arrendamiento o derecho de uso del inmueble destina al establecimiento.</w:t>
      </w:r>
    </w:p>
    <w:p w14:paraId="32E96A94" w14:textId="77777777" w:rsidR="001C510E" w:rsidRPr="001C510E" w:rsidRDefault="001C510E" w:rsidP="001C5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Compatibilidad y Declaración Jurada de Condiciones de Seguridad:</w:t>
      </w:r>
    </w:p>
    <w:p w14:paraId="3FAA6B69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Solicitud en formato de Declaración Jurada de Licencia de Funcionamiento.</w:t>
      </w:r>
    </w:p>
    <w:p w14:paraId="07E7651A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Declaración Jurada del cumplimiento de las condiciones de seguridad en la edificación (Anexo de ITSE correspondiente según el nivel de riesgo).</w:t>
      </w:r>
    </w:p>
    <w:p w14:paraId="531E54A3" w14:textId="77777777" w:rsidR="001C510E" w:rsidRPr="001C510E" w:rsidRDefault="001C510E" w:rsidP="001C5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Requisitos Específicos Adicionales (Según el Giro):</w:t>
      </w:r>
    </w:p>
    <w:p w14:paraId="4DA1C1E9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t>Copia simple del título profesional o autorización sectorial cuando la actividad lo requiera explícitamente (salud, educación, expendio de hidrocarburos, entre otros).</w:t>
      </w:r>
    </w:p>
    <w:p w14:paraId="5198F989" w14:textId="77777777" w:rsidR="001C510E" w:rsidRPr="001C510E" w:rsidRDefault="001C510E" w:rsidP="001C51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C510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Acreditación de estacionamientos según la exigencia del parámetro urbanístico del distrito (salvo exenciones normativas aplicables).</w:t>
      </w:r>
    </w:p>
    <w:p w14:paraId="74A9DA34" w14:textId="145C1C70" w:rsidR="001C510E" w:rsidRDefault="001C510E" w:rsidP="001C5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Módulo III: Flujo de Criterio Proceso-Respuesta (Algoritmo Operativo de la IA)</w:t>
      </w:r>
    </w:p>
    <w:p w14:paraId="2CBBB859" w14:textId="4D411CF7" w:rsidR="001C510E" w:rsidRDefault="001C510E" w:rsidP="001C510E">
      <w:pPr>
        <w:pStyle w:val="Prrafodelista"/>
        <w:ind w:left="0"/>
        <w:jc w:val="center"/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07950AB1" wp14:editId="1BAB81C5">
            <wp:extent cx="5400040" cy="35998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0CF1" w14:textId="01047797" w:rsidR="00742FE4" w:rsidRPr="001C510E" w:rsidRDefault="00742FE4" w:rsidP="001C510E">
      <w:pPr>
        <w:pStyle w:val="Prrafodelista"/>
        <w:ind w:left="0"/>
        <w:jc w:val="center"/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236C9494" wp14:editId="78F9645F">
            <wp:extent cx="5400040" cy="31857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2C3B" w14:textId="661BAEC5" w:rsidR="001C510E" w:rsidRDefault="001C510E" w:rsidP="001C5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C510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Especificaciones de Arquitectura y Control de Accesos (Contenido Premium)</w:t>
      </w:r>
    </w:p>
    <w:p w14:paraId="038BE492" w14:textId="77777777" w:rsidR="001C510E" w:rsidRDefault="001C510E" w:rsidP="001C510E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Nota de Configuración de Interfaz y Enlaces Protegidos</w:t>
      </w:r>
    </w:p>
    <w:p w14:paraId="28CC6658" w14:textId="77777777" w:rsidR="001C510E" w:rsidRDefault="001C510E" w:rsidP="001C510E">
      <w:pPr>
        <w:pStyle w:val="NormalWeb"/>
      </w:pPr>
      <w:r>
        <w:lastRenderedPageBreak/>
        <w:t xml:space="preserve">Para la integración de recursos descargables dentro de la interfaz del chat o panel de la IA (como </w:t>
      </w:r>
      <w:r>
        <w:rPr>
          <w:i/>
          <w:iCs/>
        </w:rPr>
        <w:t>formatos de Declaración Jurada editables</w:t>
      </w:r>
      <w:r>
        <w:t xml:space="preserve">, </w:t>
      </w:r>
      <w:r>
        <w:rPr>
          <w:i/>
          <w:iCs/>
        </w:rPr>
        <w:t>matrices automatizadas de autoevaluación de riesgo ITSE</w:t>
      </w:r>
      <w:r>
        <w:t xml:space="preserve"> o </w:t>
      </w:r>
      <w:r>
        <w:rPr>
          <w:i/>
          <w:iCs/>
        </w:rPr>
        <w:t>guías técnicas de acondicionamiento por distritos</w:t>
      </w:r>
      <w:r>
        <w:t>), el sistema implementará la siguiente lógica de control de acceso:</w:t>
      </w:r>
    </w:p>
    <w:p w14:paraId="447F0560" w14:textId="77777777" w:rsidR="001C510E" w:rsidRDefault="001C510E" w:rsidP="001C510E">
      <w:pPr>
        <w:pStyle w:val="NormalWeb"/>
        <w:numPr>
          <w:ilvl w:val="0"/>
          <w:numId w:val="3"/>
        </w:numPr>
      </w:pPr>
      <w:r>
        <w:rPr>
          <w:b/>
          <w:bCs/>
        </w:rPr>
        <w:t>Renderizado del Enlace:</w:t>
      </w:r>
    </w:p>
    <w:p w14:paraId="57FE11AF" w14:textId="77777777" w:rsidR="001C510E" w:rsidRDefault="001C510E" w:rsidP="001C510E">
      <w:pPr>
        <w:pStyle w:val="NormalWeb"/>
        <w:numPr>
          <w:ilvl w:val="1"/>
          <w:numId w:val="3"/>
        </w:numPr>
      </w:pPr>
      <w:r>
        <w:t>Los elementos descargables se desplegarán mediante un botón o hipervínculo dinámico contextualizado (</w:t>
      </w:r>
      <w:r>
        <w:rPr>
          <w:i/>
          <w:iCs/>
        </w:rPr>
        <w:t>ej. "Descargar Plantilla de Anexo 1 - ITSE"</w:t>
      </w:r>
      <w:r>
        <w:t>).</w:t>
      </w:r>
    </w:p>
    <w:p w14:paraId="48F9504C" w14:textId="77777777" w:rsidR="001C510E" w:rsidRDefault="001C510E" w:rsidP="001C510E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Capa de Autenticación y </w:t>
      </w:r>
      <w:proofErr w:type="spellStart"/>
      <w:r>
        <w:rPr>
          <w:b/>
          <w:bCs/>
        </w:rPr>
        <w:t>Tokenización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Paywall</w:t>
      </w:r>
      <w:proofErr w:type="spellEnd"/>
      <w:r>
        <w:rPr>
          <w:b/>
          <w:bCs/>
        </w:rPr>
        <w:t>):</w:t>
      </w:r>
    </w:p>
    <w:p w14:paraId="1F8A58C4" w14:textId="77777777" w:rsidR="001C510E" w:rsidRDefault="001C510E" w:rsidP="001C510E">
      <w:pPr>
        <w:pStyle w:val="NormalWeb"/>
        <w:numPr>
          <w:ilvl w:val="1"/>
          <w:numId w:val="3"/>
        </w:numPr>
      </w:pPr>
      <w:r>
        <w:t xml:space="preserve">El enlace no apuntará a un archivo estático público, sino a un </w:t>
      </w:r>
      <w:proofErr w:type="spellStart"/>
      <w:r>
        <w:rPr>
          <w:i/>
          <w:iCs/>
        </w:rPr>
        <w:t>endpoint</w:t>
      </w:r>
      <w:proofErr w:type="spellEnd"/>
      <w:r>
        <w:t xml:space="preserve"> con verificación de token de sesión.</w:t>
      </w:r>
    </w:p>
    <w:p w14:paraId="197C12EC" w14:textId="77777777" w:rsidR="001C510E" w:rsidRDefault="001C510E" w:rsidP="001C510E">
      <w:pPr>
        <w:pStyle w:val="NormalWeb"/>
        <w:numPr>
          <w:ilvl w:val="1"/>
          <w:numId w:val="3"/>
        </w:numPr>
      </w:pPr>
      <w:r>
        <w:rPr>
          <w:b/>
          <w:bCs/>
        </w:rPr>
        <w:t>Usuarios Free:</w:t>
      </w:r>
      <w:r>
        <w:t xml:space="preserve"> Al hacer clic en el botón de descarga, el sistema interceptará la petición, pausará la descarga y desplegará un modal informativo restringiendo el acceso:</w:t>
      </w:r>
    </w:p>
    <w:p w14:paraId="47EEB8A8" w14:textId="77777777" w:rsidR="001C510E" w:rsidRDefault="001C510E" w:rsidP="001C510E">
      <w:pPr>
        <w:pStyle w:val="NormalWeb"/>
        <w:ind w:left="1440"/>
      </w:pPr>
      <w:r>
        <w:rPr>
          <w:i/>
          <w:iCs/>
        </w:rPr>
        <w:t>"Este recurso técnico (plantilla editable / matriz de evaluación) pertenece al paquete especializado. Modifica tu suscripción a la versión Premium para habilitar la descarga inmediata."</w:t>
      </w:r>
    </w:p>
    <w:p w14:paraId="2C2EE577" w14:textId="47C66B6E" w:rsidR="001C510E" w:rsidRDefault="001C510E" w:rsidP="001C510E">
      <w:pPr>
        <w:pStyle w:val="NormalWeb"/>
        <w:numPr>
          <w:ilvl w:val="1"/>
          <w:numId w:val="3"/>
        </w:numPr>
      </w:pPr>
      <w:r>
        <w:rPr>
          <w:b/>
          <w:bCs/>
        </w:rPr>
        <w:t>Usuarios Premium:</w:t>
      </w:r>
      <w:r>
        <w:t xml:space="preserve"> La validación del token responderá de forma transparente, iniciando la descarga directa del archivo en formato (</w:t>
      </w:r>
      <w:proofErr w:type="spellStart"/>
      <w:r>
        <w:t>pdf</w:t>
      </w:r>
      <w:proofErr w:type="spellEnd"/>
      <w:r>
        <w:t>.)</w:t>
      </w:r>
    </w:p>
    <w:tbl>
      <w:tblPr>
        <w:tblStyle w:val="Tablaconcuadrcula6concolores-nfasis2"/>
        <w:tblW w:w="0" w:type="auto"/>
        <w:tblLook w:val="04A0" w:firstRow="1" w:lastRow="0" w:firstColumn="1" w:lastColumn="0" w:noHBand="0" w:noVBand="1"/>
      </w:tblPr>
      <w:tblGrid>
        <w:gridCol w:w="894"/>
        <w:gridCol w:w="1160"/>
        <w:gridCol w:w="2337"/>
        <w:gridCol w:w="2038"/>
        <w:gridCol w:w="2065"/>
      </w:tblGrid>
      <w:tr w:rsidR="001C510E" w:rsidRPr="001C510E" w14:paraId="7F013ECA" w14:textId="77777777" w:rsidTr="001C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E2C3F" w14:textId="77777777" w:rsidR="001C510E" w:rsidRPr="001C510E" w:rsidRDefault="001C510E" w:rsidP="001C51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Nivel de Riesgo</w:t>
            </w:r>
          </w:p>
        </w:tc>
        <w:tc>
          <w:tcPr>
            <w:tcW w:w="0" w:type="auto"/>
            <w:hideMark/>
          </w:tcPr>
          <w:p w14:paraId="25E42F6D" w14:textId="77777777" w:rsidR="001C510E" w:rsidRPr="001C510E" w:rsidRDefault="001C510E" w:rsidP="001C5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Áreas Típicas (m2)</w:t>
            </w:r>
          </w:p>
        </w:tc>
        <w:tc>
          <w:tcPr>
            <w:tcW w:w="0" w:type="auto"/>
            <w:hideMark/>
          </w:tcPr>
          <w:p w14:paraId="3DFC2777" w14:textId="77777777" w:rsidR="001C510E" w:rsidRPr="001C510E" w:rsidRDefault="001C510E" w:rsidP="001C5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Giros Comerciales / Usos Representativos</w:t>
            </w:r>
          </w:p>
        </w:tc>
        <w:tc>
          <w:tcPr>
            <w:tcW w:w="0" w:type="auto"/>
            <w:hideMark/>
          </w:tcPr>
          <w:p w14:paraId="0D82C2EC" w14:textId="77777777" w:rsidR="001C510E" w:rsidRPr="001C510E" w:rsidRDefault="001C510E" w:rsidP="001C5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Criterios y Aforo Típicos</w:t>
            </w:r>
          </w:p>
        </w:tc>
        <w:tc>
          <w:tcPr>
            <w:tcW w:w="0" w:type="auto"/>
            <w:hideMark/>
          </w:tcPr>
          <w:p w14:paraId="6C7C7E2C" w14:textId="77777777" w:rsidR="001C510E" w:rsidRPr="001C510E" w:rsidRDefault="001C510E" w:rsidP="001C5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Tipo de Inspección y Emisión de Licencia</w:t>
            </w:r>
          </w:p>
        </w:tc>
      </w:tr>
      <w:tr w:rsidR="00E03904" w:rsidRPr="001C510E" w14:paraId="677E6675" w14:textId="77777777" w:rsidTr="001C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2BF4B" w14:textId="77777777" w:rsidR="001C510E" w:rsidRPr="001C510E" w:rsidRDefault="001C510E" w:rsidP="001C51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Bajo</w:t>
            </w:r>
          </w:p>
        </w:tc>
        <w:tc>
          <w:tcPr>
            <w:tcW w:w="0" w:type="auto"/>
            <w:hideMark/>
          </w:tcPr>
          <w:p w14:paraId="4901A073" w14:textId="5F039752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100</w:t>
            </w:r>
            <w:r w:rsidR="00E039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m2</w:t>
            </w:r>
          </w:p>
        </w:tc>
        <w:tc>
          <w:tcPr>
            <w:tcW w:w="0" w:type="auto"/>
            <w:hideMark/>
          </w:tcPr>
          <w:p w14:paraId="5E752D86" w14:textId="77777777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Bodegas, bazares, librerías, oficinas administrativas, consultorios médicos, peluquerías, calzado, ropa.</w:t>
            </w:r>
          </w:p>
        </w:tc>
        <w:tc>
          <w:tcPr>
            <w:tcW w:w="0" w:type="auto"/>
            <w:hideMark/>
          </w:tcPr>
          <w:p w14:paraId="50604E09" w14:textId="03D93442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Aforo 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≤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20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personas. Máximo 2 pisos. Sin manipulación de insumos peligrosos ni cocinas industriales.</w:t>
            </w:r>
          </w:p>
        </w:tc>
        <w:tc>
          <w:tcPr>
            <w:tcW w:w="0" w:type="auto"/>
            <w:hideMark/>
          </w:tcPr>
          <w:p w14:paraId="199E9FBD" w14:textId="77777777" w:rsidR="001C510E" w:rsidRPr="001C510E" w:rsidRDefault="001C510E" w:rsidP="001C510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Inspección Posterior</w:t>
            </w:r>
          </w:p>
          <w:p w14:paraId="7562E1C9" w14:textId="77777777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6D7CCAD6" w14:textId="77777777" w:rsidR="001C510E" w:rsidRPr="001C510E" w:rsidRDefault="001C510E" w:rsidP="001C510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(Licencia y Certificado ITSE emitidos de forma automática o previa DJ)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.</w:t>
            </w:r>
          </w:p>
        </w:tc>
      </w:tr>
      <w:tr w:rsidR="001C510E" w:rsidRPr="001C510E" w14:paraId="0FCA4AF6" w14:textId="77777777" w:rsidTr="001C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D73F0" w14:textId="77777777" w:rsidR="001C510E" w:rsidRPr="001C510E" w:rsidRDefault="001C510E" w:rsidP="001C51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Medio</w:t>
            </w:r>
          </w:p>
        </w:tc>
        <w:tc>
          <w:tcPr>
            <w:tcW w:w="0" w:type="auto"/>
            <w:hideMark/>
          </w:tcPr>
          <w:p w14:paraId="25C5AB6F" w14:textId="18543B45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101</w:t>
            </w:r>
            <w:r w:rsidR="00E039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m2</w:t>
            </w:r>
            <w:r w:rsidR="00E039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 500 m2</w:t>
            </w:r>
          </w:p>
        </w:tc>
        <w:tc>
          <w:tcPr>
            <w:tcW w:w="0" w:type="auto"/>
            <w:hideMark/>
          </w:tcPr>
          <w:p w14:paraId="2B4E94DF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Restaurantes, cafeterías, gimnasios pequeños, ferreterías (sin insumos químicos inflamables), tiendas por departamento pequeñas, bancos.</w:t>
            </w:r>
          </w:p>
        </w:tc>
        <w:tc>
          <w:tcPr>
            <w:tcW w:w="0" w:type="auto"/>
            <w:hideMark/>
          </w:tcPr>
          <w:p w14:paraId="00B1F6CC" w14:textId="659C4C56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Aforo 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≤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50 personas. Hasta 3 pisos. Tanques de GLP 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≤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0.45m3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(118.8 gal).</w:t>
            </w:r>
          </w:p>
        </w:tc>
        <w:tc>
          <w:tcPr>
            <w:tcW w:w="0" w:type="auto"/>
            <w:hideMark/>
          </w:tcPr>
          <w:p w14:paraId="4655A409" w14:textId="77777777" w:rsidR="001C510E" w:rsidRPr="001C510E" w:rsidRDefault="001C510E" w:rsidP="001C510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Inspección Posterior</w:t>
            </w:r>
          </w:p>
          <w:p w14:paraId="5E82C263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59684274" w14:textId="77777777" w:rsidR="001C510E" w:rsidRPr="001C510E" w:rsidRDefault="001C510E" w:rsidP="001C510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(Emisión de licencia con DJ; verificación en campo programada en días posteriores)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.</w:t>
            </w:r>
          </w:p>
        </w:tc>
      </w:tr>
      <w:tr w:rsidR="00E03904" w:rsidRPr="001C510E" w14:paraId="4BED26E0" w14:textId="77777777" w:rsidTr="001C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A8BA5" w14:textId="77777777" w:rsidR="001C510E" w:rsidRPr="001C510E" w:rsidRDefault="001C510E" w:rsidP="001C51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Alto</w:t>
            </w:r>
          </w:p>
        </w:tc>
        <w:tc>
          <w:tcPr>
            <w:tcW w:w="0" w:type="auto"/>
            <w:hideMark/>
          </w:tcPr>
          <w:p w14:paraId="4FBC0F55" w14:textId="4EFB9179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500 m2</w:t>
            </w:r>
          </w:p>
        </w:tc>
        <w:tc>
          <w:tcPr>
            <w:tcW w:w="0" w:type="auto"/>
            <w:hideMark/>
          </w:tcPr>
          <w:p w14:paraId="7CA51A46" w14:textId="77777777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Supermercados, galerías comerciales, centros educativos (colegios/institutos), hoteles, talleres mecánicos, almacenes no industriales.</w:t>
            </w:r>
          </w:p>
        </w:tc>
        <w:tc>
          <w:tcPr>
            <w:tcW w:w="0" w:type="auto"/>
            <w:hideMark/>
          </w:tcPr>
          <w:p w14:paraId="64EDECEF" w14:textId="39616A5A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Aforo &gt; 50</w:t>
            </w:r>
            <w:r w:rsidR="008E73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personas. Manejo de cargas térmicas elevadas, más de 3 pisos o sótanos de estacionamiento.</w:t>
            </w:r>
          </w:p>
        </w:tc>
        <w:tc>
          <w:tcPr>
            <w:tcW w:w="0" w:type="auto"/>
            <w:hideMark/>
          </w:tcPr>
          <w:p w14:paraId="16A77042" w14:textId="77777777" w:rsidR="001C510E" w:rsidRPr="001C510E" w:rsidRDefault="001C510E" w:rsidP="001C510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Inspección Previa</w:t>
            </w:r>
          </w:p>
          <w:p w14:paraId="308A48E1" w14:textId="77777777" w:rsidR="001C510E" w:rsidRPr="001C510E" w:rsidRDefault="001C510E" w:rsidP="001C5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441A9C5B" w14:textId="77777777" w:rsidR="001C510E" w:rsidRPr="001C510E" w:rsidRDefault="001C510E" w:rsidP="001C510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(Requiere informe técnico favorable previo a la emisión de la licencia)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.</w:t>
            </w:r>
          </w:p>
        </w:tc>
      </w:tr>
      <w:tr w:rsidR="001C510E" w:rsidRPr="001C510E" w14:paraId="3723BA6C" w14:textId="77777777" w:rsidTr="001C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934B7" w14:textId="77777777" w:rsidR="001C510E" w:rsidRPr="001C510E" w:rsidRDefault="001C510E" w:rsidP="001C51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Muy Alto</w:t>
            </w:r>
          </w:p>
        </w:tc>
        <w:tc>
          <w:tcPr>
            <w:tcW w:w="0" w:type="auto"/>
            <w:hideMark/>
          </w:tcPr>
          <w:p w14:paraId="6A684C69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Cualquier área</w:t>
            </w:r>
          </w:p>
        </w:tc>
        <w:tc>
          <w:tcPr>
            <w:tcW w:w="0" w:type="auto"/>
            <w:hideMark/>
          </w:tcPr>
          <w:p w14:paraId="3E48429E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Discotecas, pubs, casinos, cines, teatros, estadios, hospitales, clínicas, grifos/estaciones de servicio, almacenes de productos químicos/inflamables, industrias.</w:t>
            </w:r>
          </w:p>
        </w:tc>
        <w:tc>
          <w:tcPr>
            <w:tcW w:w="0" w:type="auto"/>
            <w:hideMark/>
          </w:tcPr>
          <w:p w14:paraId="75308581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Usos especiales de alta concentración de personas, evacuación compleja o riesgo de explosión/incendio elevado.</w:t>
            </w:r>
          </w:p>
        </w:tc>
        <w:tc>
          <w:tcPr>
            <w:tcW w:w="0" w:type="auto"/>
            <w:hideMark/>
          </w:tcPr>
          <w:p w14:paraId="617EAB75" w14:textId="77777777" w:rsidR="001C510E" w:rsidRPr="001C510E" w:rsidRDefault="001C510E" w:rsidP="001C510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Inspección Previa Multidisciplinaria</w:t>
            </w:r>
          </w:p>
          <w:p w14:paraId="5384A29C" w14:textId="77777777" w:rsidR="001C510E" w:rsidRPr="001C510E" w:rsidRDefault="001C510E" w:rsidP="001C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225F2539" w14:textId="77777777" w:rsidR="001C510E" w:rsidRPr="001C510E" w:rsidRDefault="001C510E" w:rsidP="001C510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(Evaluación rigurosa por equipo de inspectores especializados antes de </w:t>
            </w:r>
            <w:proofErr w:type="spellStart"/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aperturar</w:t>
            </w:r>
            <w:proofErr w:type="spellEnd"/>
            <w:r w:rsidRPr="001C5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  <w:r w:rsidRPr="001C5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.</w:t>
            </w:r>
          </w:p>
        </w:tc>
      </w:tr>
    </w:tbl>
    <w:p w14:paraId="4F0C999A" w14:textId="5762197C" w:rsidR="001C510E" w:rsidRDefault="001C510E" w:rsidP="001C510E">
      <w:pPr>
        <w:pStyle w:val="Prrafodelista"/>
        <w:rPr>
          <w:lang w:eastAsia="es-PE"/>
        </w:rPr>
      </w:pPr>
    </w:p>
    <w:p w14:paraId="3FBE0B9E" w14:textId="77777777" w:rsidR="008E737E" w:rsidRDefault="008E737E" w:rsidP="008E737E">
      <w:pPr>
        <w:pStyle w:val="Ttulo3"/>
      </w:pPr>
      <w:r>
        <w:rPr>
          <w:rFonts w:ascii="Segoe UI Emoji" w:hAnsi="Segoe UI Emoji" w:cs="Segoe UI Emoji"/>
        </w:rPr>
        <w:t>⚙</w:t>
      </w:r>
      <w:r>
        <w:t>️ Lógica Algorítmica para la IA (Condiciones de Anulación o Salto de Riesgo)</w:t>
      </w:r>
    </w:p>
    <w:p w14:paraId="78D08DBA" w14:textId="77777777" w:rsidR="008E737E" w:rsidRDefault="008E737E" w:rsidP="008E737E">
      <w:pPr>
        <w:pStyle w:val="NormalWeb"/>
      </w:pPr>
      <w:r>
        <w:t xml:space="preserve">El motor de la IA debe incluir las siguientes </w:t>
      </w:r>
      <w:r>
        <w:rPr>
          <w:b/>
          <w:bCs/>
        </w:rPr>
        <w:t>reglas de excepción</w:t>
      </w:r>
      <w:r>
        <w:t xml:space="preserve"> para ajustar el riesgo automáticamente, sin importar el área construida:</w:t>
      </w:r>
    </w:p>
    <w:p w14:paraId="73DA16E6" w14:textId="3A4FDA87" w:rsidR="008E737E" w:rsidRDefault="008E737E" w:rsidP="008E737E">
      <w:pPr>
        <w:pStyle w:val="NormalWeb"/>
        <w:numPr>
          <w:ilvl w:val="0"/>
          <w:numId w:val="4"/>
        </w:numPr>
      </w:pPr>
      <w:r>
        <w:rPr>
          <w:b/>
          <w:bCs/>
        </w:rPr>
        <w:t>Regla del Giro Crítico:</w:t>
      </w:r>
      <w:r>
        <w:t xml:space="preserve"> Si el usuario ingresa un giro con alta carga de fuego o afluencia masiva (ej. </w:t>
      </w:r>
      <w:r>
        <w:rPr>
          <w:i/>
          <w:iCs/>
        </w:rPr>
        <w:t>discoteca, centro médico, almacén de insumos químicos</w:t>
      </w:r>
      <w:r>
        <w:t xml:space="preserve">), el sistema asigna directamente </w:t>
      </w:r>
      <w:r>
        <w:rPr>
          <w:b/>
          <w:bCs/>
        </w:rPr>
        <w:t>Riesgo Muy Alto</w:t>
      </w:r>
      <w:r>
        <w:t>, ignorando la variable del área (</w:t>
      </w:r>
      <w:r>
        <w:rPr>
          <w:rStyle w:val="math-inline"/>
        </w:rPr>
        <w:t>m2</w:t>
      </w:r>
      <w:r>
        <w:t>).</w:t>
      </w:r>
    </w:p>
    <w:p w14:paraId="10AD58FD" w14:textId="1AF50520" w:rsidR="008E737E" w:rsidRDefault="008E737E" w:rsidP="008E737E">
      <w:pPr>
        <w:pStyle w:val="NormalWeb"/>
        <w:numPr>
          <w:ilvl w:val="0"/>
          <w:numId w:val="4"/>
        </w:numPr>
      </w:pPr>
      <w:r>
        <w:rPr>
          <w:b/>
          <w:bCs/>
        </w:rPr>
        <w:t>Regla del Gas LP / Combustibles:</w:t>
      </w:r>
      <w:r>
        <w:t xml:space="preserve"> Si el área es menor a </w:t>
      </w:r>
      <w:r>
        <w:rPr>
          <w:rStyle w:val="math-inline"/>
        </w:rPr>
        <w:t>100 m2</w:t>
      </w:r>
      <w:r>
        <w:t xml:space="preserve">, pero se declara el uso de tanques de GLP superiores a </w:t>
      </w:r>
      <w:r>
        <w:rPr>
          <w:rStyle w:val="math-inline"/>
        </w:rPr>
        <w:t>0.45m3</w:t>
      </w:r>
      <w:r>
        <w:t xml:space="preserve"> o instalaciones de gas centralizado, la IA elevará la clasificación automáticamente a </w:t>
      </w:r>
      <w:r>
        <w:rPr>
          <w:b/>
          <w:bCs/>
        </w:rPr>
        <w:t>Riesgo Alto</w:t>
      </w:r>
      <w:r>
        <w:t>.</w:t>
      </w:r>
    </w:p>
    <w:p w14:paraId="653B96E2" w14:textId="77777777" w:rsidR="008E737E" w:rsidRDefault="008E737E" w:rsidP="008E737E">
      <w:pPr>
        <w:pStyle w:val="NormalWeb"/>
        <w:numPr>
          <w:ilvl w:val="0"/>
          <w:numId w:val="4"/>
        </w:numPr>
      </w:pPr>
      <w:r>
        <w:rPr>
          <w:b/>
          <w:bCs/>
        </w:rPr>
        <w:t>Regla de Niveles y Sótanos:</w:t>
      </w:r>
      <w:r>
        <w:t xml:space="preserve"> Inmuebles con más de 3 niveles o presencia de sótanos de uso comercial o estacionamiento escalan automáticamente a </w:t>
      </w:r>
      <w:r>
        <w:rPr>
          <w:b/>
          <w:bCs/>
        </w:rPr>
        <w:t>Riesgo Alto</w:t>
      </w:r>
      <w:r>
        <w:t xml:space="preserve"> o </w:t>
      </w:r>
      <w:r>
        <w:rPr>
          <w:b/>
          <w:bCs/>
        </w:rPr>
        <w:t>Muy Alto</w:t>
      </w:r>
      <w:r>
        <w:t>.</w:t>
      </w:r>
    </w:p>
    <w:p w14:paraId="3A18460D" w14:textId="77777777" w:rsidR="008E737E" w:rsidRDefault="008E737E" w:rsidP="008E737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Configuración de Interfaz y Enlaces Protegidos</w:t>
      </w:r>
    </w:p>
    <w:p w14:paraId="5044346B" w14:textId="77777777" w:rsidR="008E737E" w:rsidRDefault="008E737E" w:rsidP="008E737E">
      <w:pPr>
        <w:pStyle w:val="Ttulo3"/>
      </w:pPr>
      <w:r>
        <w:rPr>
          <w:rFonts w:ascii="Segoe UI Emoji" w:hAnsi="Segoe UI Emoji" w:cs="Segoe UI Emoji"/>
        </w:rPr>
        <w:t>🔒</w:t>
      </w:r>
      <w:r>
        <w:t xml:space="preserve"> Recursos Descargables para la Matriz ITSE (Función Premium)</w:t>
      </w:r>
    </w:p>
    <w:p w14:paraId="639BC296" w14:textId="77777777" w:rsidR="008E737E" w:rsidRDefault="008E737E" w:rsidP="008E737E">
      <w:pPr>
        <w:pStyle w:val="NormalWeb"/>
      </w:pPr>
      <w:r>
        <w:lastRenderedPageBreak/>
        <w:t>Para incentivar la conversión de usuarios a la versión de pago dentro del flujo de la IA, este módulo debe integrar accesos a plantillas y manuales técnicos mediante el siguiente control:</w:t>
      </w:r>
    </w:p>
    <w:p w14:paraId="6984ECE6" w14:textId="77777777" w:rsidR="008E737E" w:rsidRDefault="008E737E" w:rsidP="008E737E">
      <w:pPr>
        <w:pStyle w:val="NormalWeb"/>
        <w:numPr>
          <w:ilvl w:val="0"/>
          <w:numId w:val="5"/>
        </w:numPr>
      </w:pPr>
      <w:r>
        <w:rPr>
          <w:b/>
          <w:bCs/>
        </w:rPr>
        <w:t>Botón en Interfaz:</w:t>
      </w:r>
    </w:p>
    <w:p w14:paraId="2B812FCA" w14:textId="77777777" w:rsidR="008E737E" w:rsidRDefault="008E737E" w:rsidP="008E737E">
      <w:pPr>
        <w:pStyle w:val="NormalWeb"/>
        <w:numPr>
          <w:ilvl w:val="1"/>
          <w:numId w:val="5"/>
        </w:numPr>
      </w:pPr>
      <w:r>
        <w:rPr>
          <w:rStyle w:val="CdigoHTML"/>
        </w:rPr>
        <w:t>&lt;Descargar Matriz_ITSE_Completa_CENEPRED.xlsx&gt;</w:t>
      </w:r>
    </w:p>
    <w:p w14:paraId="16131201" w14:textId="77777777" w:rsidR="008E737E" w:rsidRDefault="008E737E" w:rsidP="008E737E">
      <w:pPr>
        <w:pStyle w:val="NormalWeb"/>
        <w:numPr>
          <w:ilvl w:val="1"/>
          <w:numId w:val="5"/>
        </w:numPr>
      </w:pPr>
      <w:r>
        <w:rPr>
          <w:rStyle w:val="CdigoHTML"/>
        </w:rPr>
        <w:t>&lt;Descargar Plantilla_Anexo2_Declaracion_Jurada_ITSE.docx&gt;</w:t>
      </w:r>
    </w:p>
    <w:p w14:paraId="74A67DFC" w14:textId="77777777" w:rsidR="008E737E" w:rsidRDefault="008E737E" w:rsidP="008E737E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Comportamiento del </w:t>
      </w:r>
      <w:proofErr w:type="spellStart"/>
      <w:r>
        <w:rPr>
          <w:b/>
          <w:bCs/>
        </w:rPr>
        <w:t>Paywall</w:t>
      </w:r>
      <w:proofErr w:type="spellEnd"/>
      <w:r>
        <w:rPr>
          <w:b/>
          <w:bCs/>
        </w:rPr>
        <w:t>:</w:t>
      </w:r>
    </w:p>
    <w:p w14:paraId="323C33A5" w14:textId="77777777" w:rsidR="008E737E" w:rsidRDefault="008E737E" w:rsidP="008E737E">
      <w:pPr>
        <w:pStyle w:val="NormalWeb"/>
        <w:numPr>
          <w:ilvl w:val="1"/>
          <w:numId w:val="5"/>
        </w:numPr>
      </w:pPr>
      <w:r>
        <w:rPr>
          <w:b/>
          <w:bCs/>
        </w:rPr>
        <w:t>Usuario Free:</w:t>
      </w:r>
      <w:r>
        <w:t xml:space="preserve"> Al hacer clic, la IA despliega un modal bloqueante:</w:t>
      </w:r>
    </w:p>
    <w:p w14:paraId="4A960799" w14:textId="77777777" w:rsidR="008E737E" w:rsidRDefault="008E737E" w:rsidP="008E737E">
      <w:pPr>
        <w:pStyle w:val="NormalWeb"/>
        <w:ind w:left="1440"/>
      </w:pPr>
      <w:r>
        <w:rPr>
          <w:i/>
          <w:iCs/>
        </w:rPr>
        <w:t>"Las matrices automatizadas en Excel con macros de cálculo y las plantillas editables de la Anexo 2 de ITSE están reservadas para usuarios Premium. Haz clic aquí para actualizar tu plan y habilitar la descarga."</w:t>
      </w:r>
    </w:p>
    <w:p w14:paraId="78AE5D6F" w14:textId="77777777" w:rsidR="008E737E" w:rsidRDefault="008E737E" w:rsidP="008E737E">
      <w:pPr>
        <w:pStyle w:val="NormalWeb"/>
        <w:numPr>
          <w:ilvl w:val="1"/>
          <w:numId w:val="5"/>
        </w:numPr>
      </w:pPr>
      <w:r>
        <w:rPr>
          <w:b/>
          <w:bCs/>
        </w:rPr>
        <w:t>Usuario Premium:</w:t>
      </w:r>
      <w:r>
        <w:t xml:space="preserve"> La API valida la sesión activa y descarga de forma directa el archivo comprimido o editable solicitado.</w:t>
      </w:r>
    </w:p>
    <w:p w14:paraId="69789DE2" w14:textId="77777777" w:rsidR="001C510E" w:rsidRPr="001C510E" w:rsidRDefault="001C510E" w:rsidP="001C510E">
      <w:pPr>
        <w:pStyle w:val="Prrafodelista"/>
        <w:rPr>
          <w:lang w:eastAsia="es-PE"/>
        </w:rPr>
      </w:pPr>
    </w:p>
    <w:sectPr w:rsidR="001C510E" w:rsidRPr="001C5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85052"/>
    <w:multiLevelType w:val="multilevel"/>
    <w:tmpl w:val="62F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378BE"/>
    <w:multiLevelType w:val="multilevel"/>
    <w:tmpl w:val="DBFC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C4926"/>
    <w:multiLevelType w:val="multilevel"/>
    <w:tmpl w:val="F23A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81549"/>
    <w:multiLevelType w:val="multilevel"/>
    <w:tmpl w:val="AEF4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8E4DE5"/>
    <w:multiLevelType w:val="multilevel"/>
    <w:tmpl w:val="2992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0E"/>
    <w:rsid w:val="001C510E"/>
    <w:rsid w:val="001E39F7"/>
    <w:rsid w:val="004434BF"/>
    <w:rsid w:val="005F0260"/>
    <w:rsid w:val="00742FE4"/>
    <w:rsid w:val="008E737E"/>
    <w:rsid w:val="00E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6DFAB"/>
  <w15:chartTrackingRefBased/>
  <w15:docId w15:val="{3E182D4C-0693-4F2C-8131-80C1AA16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C51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C51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C510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C510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C5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1C510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C510E"/>
    <w:rPr>
      <w:b/>
      <w:bCs/>
    </w:rPr>
  </w:style>
  <w:style w:type="character" w:customStyle="1" w:styleId="math-inline">
    <w:name w:val="math-inline"/>
    <w:basedOn w:val="Fuentedeprrafopredeter"/>
    <w:rsid w:val="001C510E"/>
  </w:style>
  <w:style w:type="table" w:styleId="Tablaconcuadrcula1clara-nfasis4">
    <w:name w:val="Grid Table 1 Light Accent 4"/>
    <w:basedOn w:val="Tablanormal"/>
    <w:uiPriority w:val="46"/>
    <w:rsid w:val="001C510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2">
    <w:name w:val="Grid Table 6 Colorful Accent 2"/>
    <w:basedOn w:val="Tablanormal"/>
    <w:uiPriority w:val="51"/>
    <w:rsid w:val="001C510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8E737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434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3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1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7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4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perience.arcgis.com/experience/9bf8fbedd99c4b2daae0d421caa3358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1118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Olán Ander Nureña Velasquez</dc:creator>
  <cp:keywords/>
  <dc:description/>
  <cp:lastModifiedBy>Olán Ander Nureña Velasquez</cp:lastModifiedBy>
  <cp:revision>5</cp:revision>
  <dcterms:created xsi:type="dcterms:W3CDTF">2026-08-04T01:50:00Z</dcterms:created>
  <dcterms:modified xsi:type="dcterms:W3CDTF">2026-08-04T03:13:00Z</dcterms:modified>
</cp:coreProperties>
</file>