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E874C99" w:rsidP="0027B7CA" w:rsidRDefault="0E874C99" w14:paraId="140A7AC7" w14:textId="499D64D8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Design Artefacts: Second Iteration</w:t>
      </w:r>
    </w:p>
    <w:p w:rsidR="0027B7CA" w:rsidP="0027B7CA" w:rsidRDefault="0027B7CA" w14:paraId="259CCB49" w14:textId="6C836316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E874C99" w:rsidP="0027B7CA" w:rsidRDefault="0E874C99" w14:paraId="18094CDD" w14:textId="6F6D1299">
      <w:pPr>
        <w:spacing w:before="0" w:beforeAutospacing="off" w:after="0" w:afterAutospacing="off"/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Setup Module </w:t>
      </w:r>
      <w:r w:rsidRPr="0027B7CA" w:rsidR="18C7EF0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(</w:t>
      </w:r>
      <w:r w:rsidRPr="0027B7CA" w:rsidR="613929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Desig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n </w:t>
      </w:r>
      <w:r w:rsidRPr="0027B7CA" w:rsidR="088011A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27B7CA" w:rsidR="40F8E19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B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&amp; </w:t>
      </w:r>
      <w:r w:rsidRPr="0027B7CA" w:rsidR="2D4B7A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C</w:t>
      </w:r>
      <w:r w:rsidRPr="0027B7CA" w:rsidR="3C11E29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)</w:t>
      </w:r>
    </w:p>
    <w:p w:rsidR="0E874C99" w:rsidP="0027B7CA" w:rsidRDefault="0E874C99" w14:paraId="19BCE5BC" w14:textId="4E4B73E6">
      <w:pPr>
        <w:spacing w:before="0" w:beforeAutospacing="off" w:after="0" w:afterAutospacing="off"/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The second iteration of the Setup Module explored how varying levels of structure and</w:t>
      </w:r>
      <w:r w:rsidRPr="0027B7CA" w:rsidR="7C39B03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AI support might influence the author’s early planning process. Three distinct versions</w:t>
      </w:r>
      <w:r w:rsidRPr="0027B7CA" w:rsidR="5A792C7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were developed, each reflecting a different balance between guidance and creative</w:t>
      </w:r>
      <w:r w:rsidRPr="0027B7CA" w:rsidR="76FB05E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reedom.</w:t>
      </w:r>
    </w:p>
    <w:p w:rsidR="0027B7CA" w:rsidP="0027B7CA" w:rsidRDefault="0027B7CA" w14:paraId="107FC1DC" w14:textId="10F936D7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0E874C99" w:rsidP="0027B7CA" w:rsidRDefault="0E874C99" w14:paraId="1F16A8FF" w14:textId="1B422408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Design </w:t>
      </w:r>
      <w:r w:rsidRPr="0027B7CA" w:rsidR="5B420D7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A</w:t>
      </w: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– Minimal Structure, No AI: </w:t>
      </w:r>
    </w:p>
    <w:p w:rsidR="0E874C99" w:rsidP="0027B7CA" w:rsidRDefault="0E874C99" w14:paraId="6365B333" w14:textId="5A726A71">
      <w:pPr>
        <w:spacing w:before="0" w:beforeAutospacing="off" w:after="0" w:afterAutospacing="off"/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This version offered an open-ended interface with</w:t>
      </w:r>
      <w:r w:rsidRPr="0027B7CA" w:rsidR="22761A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no AI support or predefined dropdowns. Authors</w:t>
      </w:r>
      <w:r w:rsidRPr="0027B7CA" w:rsidR="2D54892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encountered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small number of open</w:t>
      </w:r>
      <w:r w:rsidRPr="0027B7CA" w:rsidR="533AB8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prompts—such as “What’s your story outline?” or “Cultural references?”</w:t>
      </w:r>
    </w:p>
    <w:p w:rsidR="0E874C99" w:rsidP="0027B7CA" w:rsidRDefault="0E874C99" w14:paraId="2A01557A" w14:textId="4B9927E0">
      <w:pPr>
        <w:spacing w:before="0" w:beforeAutospacing="off" w:after="0" w:afterAutospacing="off"/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—with flexible,</w:t>
      </w:r>
      <w:r w:rsidRPr="0027B7CA" w:rsidR="4E3456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optional input fields. The intent was to avoid the feeling of completing a form and</w:t>
      </w:r>
      <w:r w:rsidRPr="0027B7CA" w:rsidR="435C50C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instead provide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 light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, non-restrictive scaffolding. Authors could skip, rearrange, or</w:t>
      </w:r>
      <w:r w:rsidRPr="0027B7CA" w:rsidR="4BE80D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enter minimal responses as they saw fit.</w:t>
      </w:r>
    </w:p>
    <w:p w:rsidR="0027B7CA" w:rsidP="0027B7CA" w:rsidRDefault="0027B7CA" w14:paraId="062AC5EF" w14:textId="7D984989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E874C99" w:rsidP="0027B7CA" w:rsidRDefault="0E874C99" w14:paraId="2DD206BA" w14:textId="7392A1B3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Design </w:t>
      </w:r>
      <w:r w:rsidRPr="0027B7CA" w:rsidR="131618F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– Moderate Structure with Subtle AI: </w:t>
      </w:r>
    </w:p>
    <w:p w:rsidR="0E874C99" w:rsidP="0027B7CA" w:rsidRDefault="0E874C99" w14:paraId="4806C40C" w14:textId="0B987C81">
      <w:pPr>
        <w:spacing w:before="0" w:beforeAutospacing="off" w:after="0" w:afterAutospacing="off"/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This version aimed to strike a balance</w:t>
      </w:r>
      <w:r w:rsidRPr="0027B7CA" w:rsidR="558489A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between </w:t>
      </w: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guidance and freedom.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 included loose categories and short input fields to</w:t>
      </w:r>
      <w:r w:rsidRPr="0027B7CA" w:rsidR="66B07C8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structure the authoring process without enforcing completion. Integrated AI support</w:t>
      </w:r>
      <w:r w:rsidRPr="0027B7CA" w:rsidR="7164053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was designed to remain unobtrusive. As authors wrote, the system could suggest a</w:t>
      </w:r>
      <w:r w:rsidRPr="0027B7CA" w:rsidR="6886469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moodboard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suggest thematic tags, or present examples of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similar stories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. Rather than</w:t>
      </w:r>
      <w:r w:rsidRPr="0027B7CA" w:rsidR="1D0C78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directing the author, the AI acted as a passive companion—offering inspiration without</w:t>
      </w:r>
      <w:r w:rsidRPr="0027B7CA" w:rsidR="74C351E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imposing structure.</w:t>
      </w:r>
    </w:p>
    <w:p w:rsidR="0027B7CA" w:rsidP="0027B7CA" w:rsidRDefault="0027B7CA" w14:paraId="5B001029" w14:textId="4E04538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E874C99" w:rsidP="0027B7CA" w:rsidRDefault="0E874C99" w14:paraId="01601417" w14:textId="3C03D7E0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Design </w:t>
      </w:r>
      <w:r w:rsidRPr="0027B7CA" w:rsidR="2BCAFA3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 </w:t>
      </w: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–</w:t>
      </w:r>
      <w:r w:rsidRPr="0027B7CA" w:rsidR="0E874C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High Structure with Active AI Support: </w:t>
      </w:r>
    </w:p>
    <w:p w:rsidR="0027B7CA" w:rsidP="0027B7CA" w:rsidRDefault="0027B7CA" w14:paraId="13C65CA8" w14:textId="5F45286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E874C99" w:rsidP="0027B7CA" w:rsidRDefault="0E874C99" w14:paraId="561097AD" w14:textId="029F1572">
      <w:pPr>
        <w:spacing w:before="0" w:beforeAutospacing="off" w:after="0" w:afterAutospacing="off"/>
      </w:pP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This was the most structured variant,</w:t>
      </w:r>
      <w:r w:rsidRPr="0027B7CA" w:rsidR="03A7EA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featuring detailed input fields for multiple narrative dimensions, including emotional</w:t>
      </w:r>
      <w:r w:rsidRPr="0027B7CA" w:rsidR="0FF6A1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arcs, pacing, audience expectations, and world rules. In this version, AI was more</w:t>
      </w:r>
      <w:r w:rsidRPr="0027B7CA" w:rsidR="74800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assertive, offering active suggestions and feedback throughout the setup process.</w:t>
      </w:r>
      <w:r w:rsidRPr="0027B7CA" w:rsidR="7D05779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While authors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retained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 ability to ignore or bypass these features, the system was</w:t>
      </w:r>
      <w:r w:rsidRPr="0027B7CA" w:rsidR="6DBC13C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designed to function as an active collaborator, consistently available to engage with the</w:t>
      </w:r>
      <w:r w:rsidRPr="0027B7CA" w:rsidR="370D077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0E874C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author’s input.</w:t>
      </w:r>
    </w:p>
    <w:p w:rsidR="0027B7CA" w:rsidP="0027B7CA" w:rsidRDefault="0027B7CA" w14:paraId="6A7ED275" w14:textId="4282A89E">
      <w:pPr>
        <w:pStyle w:val="Normal"/>
        <w:spacing w:before="0" w:beforeAutospacing="off" w:after="0" w:afterAutospacing="off"/>
      </w:pPr>
      <w:r>
        <w:br/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Scene Creation Module (Design A, B)</w:t>
      </w:r>
    </w:p>
    <w:p w:rsidR="4898AC65" w:rsidP="0027B7CA" w:rsidRDefault="4898AC65" w14:paraId="0DCEE4BD" w14:textId="16AE89CD">
      <w:pPr>
        <w:spacing w:before="0" w:beforeAutospacing="off" w:after="0" w:afterAutospacing="off"/>
      </w:pP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For the second iteration of the Scene Creation module, we focused on how different</w:t>
      </w:r>
      <w:r w:rsidRPr="0027B7CA" w:rsidR="09DF745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authors prefer to build and organize narrative scenes. Based on earlier feedback, we</w:t>
      </w:r>
      <w:r w:rsidRPr="0027B7CA" w:rsidR="5D1FDE5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developed two distinct approaches—one open-ended, the other more structured.</w:t>
      </w:r>
      <w:r w:rsidRPr="0027B7CA" w:rsidR="09C6E39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>
        <w:br/>
      </w:r>
      <w:r>
        <w:br/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Version A allows authors to write freely with a flexible interface and no AI</w:t>
      </w:r>
      <w:r w:rsidRPr="0027B7CA" w:rsidR="7AC7220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2031318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involvement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. It gives full control over both the content and how the story</w:t>
      </w:r>
      <w:r w:rsidRPr="0027B7CA" w:rsidR="5E518BC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branches.</w:t>
      </w:r>
    </w:p>
    <w:p w:rsidR="0027B7CA" w:rsidP="0027B7CA" w:rsidRDefault="0027B7CA" w14:paraId="02E06FC9" w14:textId="419B9070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898AC65" w:rsidP="0027B7CA" w:rsidRDefault="4898AC65" w14:paraId="32539C11" w14:textId="4FC18E2C">
      <w:pPr>
        <w:spacing w:before="0" w:beforeAutospacing="off" w:after="0" w:afterAutospacing="off"/>
      </w:pP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Version B is more 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structured—authors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build scenes using templates or modular</w:t>
      </w:r>
      <w:r w:rsidRPr="0027B7CA" w:rsidR="7E45B0D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blocks. Here, AI plays a supportive role, offering contextual suggestions. The</w:t>
      </w:r>
      <w:r w:rsidRPr="0027B7CA" w:rsidR="6AB363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The writing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process 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remains</w:t>
      </w:r>
      <w:r w:rsidRPr="0027B7CA" w:rsidR="4898AC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guided but leaves space for creative flexibility.</w:t>
      </w:r>
    </w:p>
    <w:p w:rsidR="0027B7CA" w:rsidP="0027B7CA" w:rsidRDefault="0027B7CA" w14:paraId="23AFD17F" w14:textId="6A16EAB7">
      <w:pPr>
        <w:pStyle w:val="Normal"/>
      </w:pPr>
      <w:r>
        <w:br/>
      </w:r>
    </w:p>
    <w:p w:rsidR="76023D24" w:rsidP="0027B7CA" w:rsidRDefault="76023D24" w14:paraId="5BD09ABE" w14:textId="547754E1">
      <w:pPr>
        <w:spacing w:before="0" w:beforeAutospacing="off" w:after="0" w:afterAutospacing="off"/>
      </w:pP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Knowledge Graph Module (</w:t>
      </w:r>
      <w:r w:rsidRPr="0027B7CA" w:rsidR="76023D2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Live prototype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>)</w:t>
      </w:r>
    </w:p>
    <w:p w:rsidR="76023D24" w:rsidP="0027B7CA" w:rsidRDefault="76023D24" w14:paraId="1C7CF192" w14:textId="400E71B6">
      <w:pPr>
        <w:spacing w:before="0" w:beforeAutospacing="off" w:after="0" w:afterAutospacing="off"/>
      </w:pP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The Knowledge Graph evolves from a basic visual</w:t>
      </w:r>
      <w:r w:rsidRPr="0027B7CA" w:rsidR="02B568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map into a more dynamic narrative aid. The AI assistant was revised. Instead of</w:t>
      </w:r>
      <w:r w:rsidRPr="0027B7CA" w:rsidR="2006136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flagging only disconnected nodes, it now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identifies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more subtle issues—</w:t>
      </w:r>
    </w:p>
    <w:p w:rsidR="76023D24" w:rsidP="0027B7CA" w:rsidRDefault="76023D24" w14:paraId="7FCD673D" w14:textId="24F68ADF">
      <w:pPr>
        <w:spacing w:before="0" w:beforeAutospacing="off" w:after="0" w:afterAutospacing="off"/>
      </w:pP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underdeveloped paths, dead ends, or missing links between major elements. These</w:t>
      </w:r>
      <w:r w:rsidRPr="0027B7CA" w:rsidR="2E7262B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prompts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remain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optional. We also made changes to the way the graph could be</w:t>
      </w:r>
      <w:r w:rsidRPr="0027B7CA" w:rsidR="74E1093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navigated. Filters are now more flexible; users can isolate specific relationship types</w:t>
      </w:r>
      <w:r w:rsidRPr="0027B7CA" w:rsidR="32C6E01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—narrative threads, character arcs, or thematic groupings—and cluster nodes</w:t>
      </w:r>
      <w:r w:rsidRPr="0027B7CA" w:rsidR="64CED5C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accordingly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It’s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still a complex view, but the tools for making sense of it are more</w:t>
      </w:r>
      <w:r w:rsidRPr="0027B7CA" w:rsidR="42931B7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present. Finally, we also introduced metadata layers, allowing authors to tag scenes,</w:t>
      </w:r>
      <w:r w:rsidRPr="0027B7CA" w:rsidR="13875B3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characters, or themes. These visual cues help users track interactions and better</w:t>
      </w:r>
      <w:r w:rsidRPr="0027B7CA" w:rsidR="6E4816D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027B7CA" w:rsidR="76023D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understand how story elements evolve.</w:t>
      </w:r>
    </w:p>
    <w:p w:rsidR="0027B7CA" w:rsidP="0027B7CA" w:rsidRDefault="0027B7CA" w14:paraId="3BCF1E3E" w14:textId="3A8071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61E6B"/>
    <w:rsid w:val="0027B7CA"/>
    <w:rsid w:val="02B568D9"/>
    <w:rsid w:val="03A7EA32"/>
    <w:rsid w:val="088011A2"/>
    <w:rsid w:val="09C6E39C"/>
    <w:rsid w:val="09DF745E"/>
    <w:rsid w:val="0E4ECE68"/>
    <w:rsid w:val="0E874C99"/>
    <w:rsid w:val="0E8D9252"/>
    <w:rsid w:val="0FF6A1D4"/>
    <w:rsid w:val="131618F9"/>
    <w:rsid w:val="13561E6B"/>
    <w:rsid w:val="13875B3C"/>
    <w:rsid w:val="14CA8712"/>
    <w:rsid w:val="14CA8712"/>
    <w:rsid w:val="18C7EF05"/>
    <w:rsid w:val="1D0C78EB"/>
    <w:rsid w:val="2006136E"/>
    <w:rsid w:val="20313182"/>
    <w:rsid w:val="22761A81"/>
    <w:rsid w:val="266B0929"/>
    <w:rsid w:val="2BCAFA3A"/>
    <w:rsid w:val="2D4B7A2F"/>
    <w:rsid w:val="2D54892E"/>
    <w:rsid w:val="2E7262B3"/>
    <w:rsid w:val="32C6E015"/>
    <w:rsid w:val="370D077B"/>
    <w:rsid w:val="3C11E29E"/>
    <w:rsid w:val="40F8E195"/>
    <w:rsid w:val="42931B7A"/>
    <w:rsid w:val="435C50CE"/>
    <w:rsid w:val="444144C3"/>
    <w:rsid w:val="4898AC65"/>
    <w:rsid w:val="4BE80D06"/>
    <w:rsid w:val="4DE56989"/>
    <w:rsid w:val="4E3456EF"/>
    <w:rsid w:val="533AB8FC"/>
    <w:rsid w:val="558489AE"/>
    <w:rsid w:val="5A792C71"/>
    <w:rsid w:val="5A85D36B"/>
    <w:rsid w:val="5B420D7E"/>
    <w:rsid w:val="5D1FDE50"/>
    <w:rsid w:val="5E518BCC"/>
    <w:rsid w:val="613929DC"/>
    <w:rsid w:val="64CED5C1"/>
    <w:rsid w:val="66B07C8B"/>
    <w:rsid w:val="6742D824"/>
    <w:rsid w:val="68864697"/>
    <w:rsid w:val="6AB3633B"/>
    <w:rsid w:val="6DBC13CA"/>
    <w:rsid w:val="6E4816DA"/>
    <w:rsid w:val="71640538"/>
    <w:rsid w:val="732C4C63"/>
    <w:rsid w:val="732C4C63"/>
    <w:rsid w:val="74358C9B"/>
    <w:rsid w:val="74800E47"/>
    <w:rsid w:val="74C351EC"/>
    <w:rsid w:val="74E1093A"/>
    <w:rsid w:val="76023D24"/>
    <w:rsid w:val="76FB05EA"/>
    <w:rsid w:val="7AC72207"/>
    <w:rsid w:val="7C39B034"/>
    <w:rsid w:val="7D05779B"/>
    <w:rsid w:val="7E45B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1E6B"/>
  <w15:chartTrackingRefBased/>
  <w15:docId w15:val="{D3653F19-3CDA-44B7-958A-060D7FEA0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2025-09-15T09:25:03.5394016Z</dcterms:created>
  <dcterms:modified xsi:type="dcterms:W3CDTF">2025-09-15T21:31:52.7752561Z</dcterms:modified>
  <dc:creator>Yin Heng Allison Chan (student, 24yich)</dc:creator>
  <lastModifiedBy>Yin Heng Allison Chan (student, 24yich)</lastModifiedBy>
</coreProperties>
</file>