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Regional model validation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[Region name | identifier | Regional workbook]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[Provider; catch years; catch basis; date/version]</w:t>
              <w:br/>
              <w:t xml:space="preserve">[Region | Catch files]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[Authors (year). Title.]</w:t>
              <w:br/>
              <w:t xml:space="preserve">[DOI | Paper PDF | Paper folder]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[Author/year; short title; DOI or local record — one entry per article]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[Exact model ID/name; period; domain; source groups]</w:t>
              <w:br/>
              <w:t xml:space="preserve">[Folder | JSON | Saved runtime, if relevant]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Other models from the same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[Other model: period; area; distinguishing features — one entry per model]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Article — [documented reason, or ?]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Model — [documented reason, or ?]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[Source reconstruction report]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[Material source conflicts; treatment | Conflict report]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[Diet sums: discrepancy and treatment, if relevant]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[Missing/default GS; derived BA; other material changes]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[MANUAL — Researcher: calculation choices and reasons]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[Excluded groups, scope and relevant values; other adjustments]</w:t>
            </w:r>
          </w:p>
        </w:tc>
      </w:tr>
    </w:tbl>
    <w:p>
      <w:pPr>
        <w:spacing w:after="40" w:before="0" w:line="240" w:lineRule="auto"/>
        <w:pageBreakBefore/>
      </w:pPr>
      <w:r>
        <w:rPr>
          <w:rFonts w:ascii="Calibri" w:hAnsi="Calibri"/>
          <w:sz w:val="2"/>
          <w:color w:val="000000"/>
        </w:rPr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[Negative SPPR: each source column (name/ID) → affected groups (names/IDs); or None.]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rho_living = [value]; b = [value].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Detritus [pool name/ID]: SPPR = [value].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[Negative SPPR: each source column (name/ID) → affected groups (names/IDs); or None.]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rho_living = [value].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Detritus [pool name/ID]: SPPR = [value].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Taxon mapping and coverage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Reference: [year]; [catch basis].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Groups: [n]; catch taxa: [n].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Catch: [t]; simple-chain PPR: [t C].</w:t>
            </w:r>
          </w:p>
          <w:tbl>
            <w:tblPr>
              <w:tblW w:type="dxa" w:w="7474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100"/>
              <w:gridCol w:w="1120"/>
              <w:gridCol w:w="1700"/>
              <w:gridCol w:w="2554"/>
            </w:tblGrid>
            <w:tr>
              <w:trPr>
                <w:cantSplit/>
                <w:tblHeader/>
              </w:trPr>
              <w:tc>
                <w:tcPr>
                  <w:tcW w:type="dxa" w:w="2100"/>
                  <w:vAlign w:val="center"/>
                  <w:shd w:fill="E5ECF0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  <w:b/>
                    </w:rPr>
                    <w:t xml:space="preserve">Confidence</w:t>
                  </w:r>
                </w:p>
              </w:tc>
              <w:tc>
                <w:tcPr>
                  <w:tcW w:type="dxa" w:w="1120"/>
                  <w:vAlign w:val="center"/>
                  <w:shd w:fill="E5ECF0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  <w:b/>
                    </w:rPr>
                    <w:t xml:space="preserve">Taxa (n)</w:t>
                  </w:r>
                </w:p>
              </w:tc>
              <w:tc>
                <w:tcPr>
                  <w:tcW w:type="dxa" w:w="1700"/>
                  <w:vAlign w:val="center"/>
                  <w:shd w:fill="E5ECF0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  <w:b/>
                    </w:rPr>
                    <w:t xml:space="preserve">Catch (%)</w:t>
                  </w:r>
                </w:p>
              </w:tc>
              <w:tc>
                <w:tcPr>
                  <w:tcW w:type="dxa" w:w="2554"/>
                  <w:vAlign w:val="center"/>
                  <w:shd w:fill="E5ECF0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  <w:b/>
                    </w:rPr>
                    <w:t xml:space="preserve">Simple-chain</w:t>
                    <w:br/>
                    <w:t xml:space="preserve">PPR (%)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High</w:t>
                  </w:r>
                </w:p>
              </w:tc>
              <w:tc>
                <w:tcPr>
                  <w:tcW w:type="dxa" w:w="112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[n]</w:t>
                  </w:r>
                </w:p>
              </w:tc>
              <w:tc>
                <w:tcPr>
                  <w:tcW w:type="dxa" w:w="170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[%]</w:t>
                  </w:r>
                </w:p>
              </w:tc>
              <w:tc>
                <w:tcPr>
                  <w:tcW w:type="dxa" w:w="2554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[%]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Medium</w:t>
                  </w:r>
                </w:p>
              </w:tc>
              <w:tc>
                <w:tcPr>
                  <w:tcW w:type="dxa" w:w="112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[n]</w:t>
                  </w:r>
                </w:p>
              </w:tc>
              <w:tc>
                <w:tcPr>
                  <w:tcW w:type="dxa" w:w="170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[%]</w:t>
                  </w:r>
                </w:p>
              </w:tc>
              <w:tc>
                <w:tcPr>
                  <w:tcW w:type="dxa" w:w="2554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[%]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Low</w:t>
                  </w:r>
                </w:p>
              </w:tc>
              <w:tc>
                <w:tcPr>
                  <w:tcW w:type="dxa" w:w="112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[n]</w:t>
                  </w:r>
                </w:p>
              </w:tc>
              <w:tc>
                <w:tcPr>
                  <w:tcW w:type="dxa" w:w="170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[%]</w:t>
                  </w:r>
                </w:p>
              </w:tc>
              <w:tc>
                <w:tcPr>
                  <w:tcW w:type="dxa" w:w="2554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[%]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Unresolved</w:t>
                  </w:r>
                </w:p>
              </w:tc>
              <w:tc>
                <w:tcPr>
                  <w:tcW w:type="dxa" w:w="112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[n]</w:t>
                  </w:r>
                </w:p>
              </w:tc>
              <w:tc>
                <w:tcPr>
                  <w:tcW w:type="dxa" w:w="1700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[%]</w:t>
                  </w:r>
                </w:p>
              </w:tc>
              <w:tc>
                <w:tcPr>
                  <w:tcW w:type="dxa" w:w="2554"/>
                  <w:vAlign w:val="center"/>
                  <w:shd w:fill="FFFFFF"/>
                  <w:tcMar>
                    <w:top w:w="90" w:type="dxa"/>
                    <w:bottom w:w="90" w:type="dxa"/>
                    <w:left w:w="110" w:type="dxa"/>
                    <w:right w:w="110" w:type="dxa"/>
                  </w:tcMar>
                  <w:tcBorders>
                    <w:top w:val="single" w:sz="5" w:color="D9D9D9"/>
                    <w:left w:val="single" w:sz="5" w:color="D9D9D9"/>
                    <w:bottom w:val="single" w:sz="5" w:color="D9D9D9"/>
                    <w:right w:val="single" w:sz="5" w:color="D9D9D9"/>
                  </w:tcBorders>
                </w:tcPr>
                <w:p>
                  <w:pPr>
                    <w:spacing w:after="40" w:before="0" w:line="240" w:lineRule="auto"/>
                  </w:pPr>
                  <w:r>
                    <w:rPr>
                      <w:rFonts w:ascii="Calibri" w:hAnsi="Calibri"/>
                      <w:sz w:val="19"/>
                      <w:color w:val="000000"/>
                    </w:rPr>
                    <w:t xml:space="preserve">[%]</w:t>
                  </w:r>
                </w:p>
              </w:tc>
            </w:tr>
          </w:tbl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</w:rPr>
              <w:t xml:space="preserve">Membership evidence: [sources; Appendix A / full report].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</w:rPr>
              <w:t xml:space="preserve">Weights and assumptions: [rules; sources; affected confidence].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</w:rPr>
              <w:t xml:space="preserve">[If needed: PPR unavailable for n taxa, x% of catch; shares use known PPR.]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A. Region covered by study: [value or range]%.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B. Study area covered by region: [value or range]%.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A = 100 × overlap / region area; B = 100 × overlap / study area.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[Calculated / approximate digitization / visual estimate; source and basis. Figures below.]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[Model period; catch years; material implications of applying fixed coefficients or weights across years.]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[MANUAL — Researcher: open issue and consequence]</w:t>
              <w:br/>
              <w:t>[Researcher: next action / priority]</w:t>
              <w:br/>
              <w:t>[Researcher: relevant .md report hyperlink, if available]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[MANUAL — Researcher name: ___ | review date: ___]</w:t>
              <w:br/>
              <w:t>[Researcher: review decision and limitations]</w:t>
              <w:br/>
              <w:t>[Researcher: reviewed input/version and configuration]</w:t>
              <w:br/>
              <w:t>[Researcher: reproducibility evidence/report hyperlink]</w:t>
            </w:r>
          </w:p>
        </w:tc>
      </w:tr>
    </w:tbl>
    <w:p>
      <w:pPr>
        <w:pStyle w:val="Title"/>
        <w:pageBreakBefore/>
        <w:keepNext/>
      </w:pPr>
      <w:r>
        <w:t>Geographic evidence screenshots</w:t>
      </w:r>
    </w:p>
    <w:p>
      <w:pPr>
        <w:spacing w:after="40" w:before="0" w:line="240" w:lineRule="auto"/>
      </w:pPr>
      <w:r>
        <w:rPr>
          <w:rFonts w:ascii="Calibri" w:hAnsi="Calibri"/>
          <w:sz w:val="21"/>
          <w:color w:val="000000"/>
        </w:rPr>
        <w:t xml:space="preserve">Target region R and selected model study area S. [Overlap method and approximation, if applicable.]</w:t>
      </w:r>
    </w:p>
    <w:p>
      <w:pPr>
        <w:pStyle w:val="Heading2"/>
      </w:pPr>
      <w:r>
        <w:t>Region area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>
        <w:trPr>
          <w:cantSplit/>
          <w:trHeight w:val="2880" w:hRule="atLeast"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[Insert readable boundary image]</w:t>
            </w:r>
          </w:p>
        </w:tc>
      </w:tr>
    </w:tbl>
    <w:p>
      <w:pPr>
        <w:spacing w:after="40" w:before="0" w:line="240" w:lineRule="auto"/>
      </w:pPr>
      <w:r>
        <w:rPr>
          <w:rFonts w:ascii="Calibri" w:hAnsi="Calibri"/>
          <w:sz w:val="20"/>
          <w:color w:val="000000"/>
        </w:rPr>
        <w:t xml:space="preserve">[Region name/ID; boundary source/version | Source | Image]</w:t>
      </w:r>
    </w:p>
    <w:p>
      <w:pPr>
        <w:pStyle w:val="Heading2"/>
      </w:pPr>
      <w:r>
        <w:t>Study area in the article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Study boundary for the selected model</w:t>
            </w:r>
          </w:p>
        </w:tc>
      </w:tr>
      <w:tr>
        <w:trPr>
          <w:cantSplit/>
          <w:trHeight w:val="2880" w:hRule="atLeast"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[Insert readable boundary image]</w:t>
            </w:r>
          </w:p>
        </w:tc>
      </w:tr>
    </w:tbl>
    <w:p>
      <w:pPr>
        <w:spacing w:after="40" w:before="0" w:line="240" w:lineRule="auto"/>
      </w:pPr>
      <w:r>
        <w:rPr>
          <w:rFonts w:ascii="Calibri" w:hAnsi="Calibri"/>
          <w:sz w:val="20"/>
          <w:color w:val="000000"/>
        </w:rPr>
        <w:t xml:space="preserve">[Article; figure/page; represented model area | Source PDF | Image]</w:t>
      </w:r>
    </w:p>
    <w:p>
      <w:pPr>
        <w:spacing w:after="40" w:before="0" w:line="240" w:lineRule="auto"/>
      </w:pPr>
      <w:r>
        <w:rPr>
          <w:rFonts w:ascii="Calibri" w:hAnsi="Calibri"/>
          <w:sz w:val="20"/>
          <w:color w:val="000000"/>
        </w:rPr>
        <w:t xml:space="preserve">[If a figure is unavailable, state the missing source or reason.]</w:t>
      </w:r>
    </w:p>
    <w:p>
      <w:pPr>
        <w:spacing w:after="40" w:before="0" w:line="240" w:lineRule="auto"/>
        <w:sectPr w:rsidR="00FC693F" w:rsidRPr="0006063C" w:rsidSect="00034616">
          <w:type w:val="nextPage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  <w:r>
        <w:rPr>
          <w:rFonts w:ascii="Calibri" w:hAnsi="Calibri"/>
          <w:sz w:val="2"/>
          <w:color w:val="000000"/>
        </w:rPr>
        <w:t xml:space="preserve"/>
      </w:r>
    </w:p>
    <w:p>
      <w:pPr>
        <w:pStyle w:val="Heading1"/>
        <w:spacing w:after="40" w:before="0" w:line="240" w:lineRule="auto"/>
      </w:pPr>
      <w:r>
        <w:rPr>
          <w:rFonts w:ascii="Calibri" w:hAnsi="Calibri"/>
          <w:sz w:val="34"/>
          <w:color w:val="000000"/>
        </w:rPr>
        <w:t xml:space="preserve">Appendix A Taxon mappings</w:t>
      </w:r>
    </w:p>
    <w:p>
      <w:pPr>
        <w:spacing w:after="40" w:before="0" w:line="240" w:lineRule="auto"/>
      </w:pPr>
      <w:r>
        <w:rPr>
          <w:rFonts w:ascii="Calibri" w:hAnsi="Calibri"/>
          <w:sz w:val="21"/>
          <w:color w:val="000000"/>
        </w:rPr>
        <w:t xml:space="preserve">Reference: [year]; [catch basis]. Simple-chain PPR: [method; transfer efficiency; carbon conversion; sources].</w:t>
      </w:r>
    </w:p>
    <w:p>
      <w:pPr>
        <w:spacing w:after="40" w:before="0" w:line="240" w:lineRule="auto"/>
      </w:pPr>
      <w:r>
        <w:rPr>
          <w:rFonts w:ascii="Calibri" w:hAnsi="Calibri"/>
          <w:sz w:val="21"/>
          <w:color w:val="000000"/>
        </w:rPr>
        <w:t xml:space="preserve">Catch in tonnes; PPR in tonnes C. ? = unavailable or unresolved. [Missing-PPR coverage, if applicable.]</w:t>
      </w:r>
    </w:p>
    <w:p>
      <w:pPr>
        <w:spacing w:after="40" w:before="0" w:line="240" w:lineRule="auto"/>
      </w:pPr>
      <w:r>
        <w:rPr>
          <w:rFonts w:ascii="Calibri" w:hAnsi="Calibri"/>
          <w:sz w:val="21"/>
          <w:color w:val="000000"/>
        </w:rPr>
        <w:t xml:space="preserve">Sorted by simple-chain PPR, descending; unavailable values last.</w:t>
      </w:r>
    </w:p>
    <w:tbl>
      <w:tblPr>
        <w:tblW w:type="dxa" w:w="14962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20"/>
        <w:gridCol w:w="1296"/>
        <w:gridCol w:w="1800"/>
        <w:gridCol w:w="3096"/>
        <w:gridCol w:w="1368"/>
        <w:gridCol w:w="4378"/>
      </w:tblGrid>
      <w:tr>
        <w:trPr>
          <w:cantSplit/>
          <w:tblHeader/>
        </w:trPr>
        <w:tc>
          <w:tcPr>
            <w:tcW w:type="dxa" w:w="230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  <w:b/>
              </w:rPr>
              <w:t xml:space="preserve">Taxon name</w:t>
            </w:r>
          </w:p>
        </w:tc>
        <w:tc>
          <w:tcPr>
            <w:tcW w:type="dxa" w:w="720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  <w:b/>
              </w:rPr>
              <w:t xml:space="preserve">TL</w:t>
            </w:r>
          </w:p>
        </w:tc>
        <w:tc>
          <w:tcPr>
            <w:tcW w:type="dxa" w:w="1296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  <w:b/>
              </w:rPr>
              <w:t xml:space="preserve">Catch</w:t>
              <w:br/>
              <w:t xml:space="preserve">(t)</w:t>
            </w:r>
          </w:p>
        </w:tc>
        <w:tc>
          <w:tcPr>
            <w:tcW w:type="dxa" w:w="1800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  <w:b/>
              </w:rPr>
              <w:t xml:space="preserve">Simple-chain</w:t>
              <w:br/>
              <w:t xml:space="preserve">PPR (t C)</w:t>
            </w:r>
          </w:p>
        </w:tc>
        <w:tc>
          <w:tcPr>
            <w:tcW w:type="dxa" w:w="3096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  <w:b/>
              </w:rPr>
              <w:t xml:space="preserve">Mapped group names</w:t>
              <w:br/>
              <w:t xml:space="preserve">and weights</w:t>
            </w:r>
          </w:p>
        </w:tc>
        <w:tc>
          <w:tcPr>
            <w:tcW w:type="dxa" w:w="1368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  <w:b/>
              </w:rPr>
              <w:t xml:space="preserve">Confidence</w:t>
              <w:br/>
              <w:t xml:space="preserve">level</w:t>
            </w:r>
          </w:p>
        </w:tc>
        <w:tc>
          <w:tcPr>
            <w:tcW w:type="dxa" w:w="4378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  <w:b/>
              </w:rPr>
              <w:t xml:space="preserve">Reason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</w:rPr>
              <w:t xml:space="preserve">[Catch taxon]</w:t>
            </w:r>
          </w:p>
        </w:tc>
        <w:tc>
          <w:tcPr>
            <w:tcW w:type="dxa" w:w="72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</w:rPr>
              <w:t xml:space="preserve">[TL]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</w:rPr>
              <w:t xml:space="preserve">[t]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</w:rPr>
              <w:t xml:space="preserve">[t C]</w:t>
            </w:r>
          </w:p>
        </w:tc>
        <w:tc>
          <w:tcPr>
            <w:tcW w:type="dxa" w:w="3096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</w:rPr>
              <w:t xml:space="preserve">[Group (weight%); group (?) if unresolved]</w:t>
            </w:r>
          </w:p>
        </w:tc>
        <w:tc>
          <w:tcPr>
            <w:tcW w:type="dxa" w:w="136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</w:rPr>
              <w:t xml:space="preserve">[Level]</w:t>
            </w:r>
          </w:p>
        </w:tc>
        <w:tc>
          <w:tcPr>
            <w:tcW w:type="dxa" w:w="437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0"/>
                <w:color w:val="000000"/>
              </w:rPr>
              <w:t xml:space="preserve">[Membership justification; weight rule and assumption; source IDs]</w:t>
            </w:r>
          </w:p>
        </w:tc>
      </w:tr>
    </w:tbl>
    <w:p>
      <w:pPr>
        <w:pStyle w:val="Heading2"/>
        <w:spacing w:after="40" w:before="160" w:line="240" w:lineRule="auto"/>
      </w:pPr>
      <w:r>
        <w:rPr>
          <w:rFonts w:ascii="Calibri" w:hAnsi="Calibri"/>
          <w:sz w:val="24"/>
          <w:color w:val="000000"/>
          <w:b/>
        </w:rPr>
        <w:t xml:space="preserve">Mapping sources</w:t>
      </w:r>
    </w:p>
    <w:p>
      <w:pPr>
        <w:spacing w:after="40" w:before="0" w:line="240" w:lineRule="auto"/>
      </w:pPr>
      <w:r>
        <w:rPr>
          <w:rFonts w:ascii="Calibri" w:hAnsi="Calibri"/>
          <w:sz w:val="21"/>
          <w:color w:val="000000"/>
        </w:rPr>
        <w:t xml:space="preserve">[1] [Membership / TL source: full reference; relevant page, table or entry; link.]</w:t>
      </w:r>
    </w:p>
    <w:p>
      <w:pPr>
        <w:spacing w:after="40" w:before="0" w:line="240" w:lineRule="auto"/>
      </w:pPr>
      <w:r>
        <w:rPr>
          <w:rFonts w:ascii="Calibri" w:hAnsi="Calibri"/>
          <w:sz w:val="21"/>
          <w:color w:val="000000"/>
        </w:rPr>
        <w:t xml:space="preserve">[2] [Weight / PPR-method source: full reference; relevant page, table or entry; link.]</w:t>
      </w:r>
    </w:p>
    <w:p>
      <w:pPr>
        <w:spacing w:after="40" w:before="0" w:line="240" w:lineRule="auto"/>
      </w:pPr>
      <w:r>
        <w:rPr>
          <w:rFonts w:ascii="Calibri" w:hAnsi="Calibri"/>
          <w:sz w:val="21"/>
          <w:color w:val="000000"/>
        </w:rPr>
        <w:t xml:space="preserve">[Detailed mapping report, if available.]</w:t>
      </w:r>
    </w:p>
    <w:sectPr w:rsidR="00FC693F" w:rsidRPr="0006063C" w:rsidSect="00034616">
      <w:pgSz w:w="16834" w:h="11909" w:orient="landscape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