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E313" w14:textId="77777777" w:rsidR="005C72CA" w:rsidRDefault="00000000">
      <w:pPr>
        <w:pStyle w:val="aa"/>
      </w:pPr>
      <w:r>
        <w:t>Arabian Sea model validation</w:t>
      </w:r>
    </w:p>
    <w:tbl>
      <w:tblPr>
        <w:tblW w:w="0" w:type="auto"/>
        <w:jc w:val="center"/>
        <w:tblLayout w:type="fixed"/>
        <w:tblLook w:val="04A0" w:firstRow="1" w:lastRow="0" w:firstColumn="1" w:lastColumn="0" w:noHBand="0" w:noVBand="1"/>
      </w:tblPr>
      <w:tblGrid>
        <w:gridCol w:w="2203"/>
        <w:gridCol w:w="7834"/>
      </w:tblGrid>
      <w:tr w:rsidR="005C72CA" w14:paraId="3913B755" w14:textId="77777777">
        <w:trPr>
          <w:cantSplit/>
          <w:tblHeader/>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73622B2" w14:textId="77777777" w:rsidR="005C72CA" w:rsidRDefault="00000000">
            <w:pPr>
              <w:keepNext/>
              <w:spacing w:after="40"/>
            </w:pPr>
            <w:r>
              <w:rPr>
                <w:b/>
                <w:sz w:val="21"/>
              </w:rPr>
              <w:t>Field</w:t>
            </w:r>
          </w:p>
        </w:tc>
        <w:tc>
          <w:tcPr>
            <w:tcW w:w="7834"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22DDFBDB" w14:textId="77777777" w:rsidR="005C72CA" w:rsidRDefault="00000000">
            <w:pPr>
              <w:keepNext/>
              <w:spacing w:after="40" w:line="240" w:lineRule="auto"/>
            </w:pPr>
            <w:r>
              <w:rPr>
                <w:b/>
                <w:color w:val="000000"/>
                <w:sz w:val="21"/>
              </w:rPr>
              <w:t>Entry</w:t>
            </w:r>
          </w:p>
        </w:tc>
      </w:tr>
      <w:tr w:rsidR="005C72CA" w14:paraId="281EED48"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46D0940" w14:textId="77777777" w:rsidR="005C72CA" w:rsidRDefault="00000000">
            <w:pPr>
              <w:spacing w:after="40"/>
            </w:pPr>
            <w:r>
              <w:rPr>
                <w:b/>
                <w:sz w:val="21"/>
              </w:rPr>
              <w:t>Region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608C022" w14:textId="77777777" w:rsidR="005C72CA" w:rsidRDefault="00000000">
            <w:pPr>
              <w:spacing w:after="40" w:line="240" w:lineRule="auto"/>
            </w:pPr>
            <w:r>
              <w:rPr>
                <w:color w:val="000000"/>
                <w:sz w:val="21"/>
              </w:rPr>
              <w:t>Arabian Sea | LME_032</w:t>
            </w:r>
          </w:p>
          <w:p w14:paraId="38BF90B3" w14:textId="77777777" w:rsidR="005C72CA" w:rsidRDefault="00000000">
            <w:hyperlink r:id="rId6">
              <w:r>
                <w:rPr>
                  <w:rStyle w:val="Hyperlink"/>
                </w:rPr>
                <w:t>Regional workbook</w:t>
              </w:r>
            </w:hyperlink>
          </w:p>
        </w:tc>
      </w:tr>
      <w:tr w:rsidR="005C72CA" w14:paraId="516F1530"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581BD38" w14:textId="77777777" w:rsidR="005C72CA" w:rsidRDefault="00000000">
            <w:pPr>
              <w:spacing w:after="40"/>
            </w:pPr>
            <w:r>
              <w:rPr>
                <w:b/>
                <w:sz w:val="21"/>
              </w:rPr>
              <w:t>Catch source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D44F3EC" w14:textId="77777777" w:rsidR="005C72CA" w:rsidRDefault="00000000">
            <w:pPr>
              <w:spacing w:after="40" w:line="240" w:lineRule="auto"/>
            </w:pPr>
            <w:r>
              <w:rPr>
                <w:color w:val="000000"/>
                <w:sz w:val="21"/>
              </w:rPr>
              <w:t>Sea Around Us frozen regional catch, 1950–2019; landings, discards and total catch. Appendix reference: 2019 landings. Source snapshot catalogued 3 September 2026.</w:t>
            </w:r>
          </w:p>
          <w:p w14:paraId="794E71C2" w14:textId="77777777" w:rsidR="005C72CA" w:rsidRDefault="00000000">
            <w:hyperlink r:id="rId7">
              <w:r>
                <w:rPr>
                  <w:rStyle w:val="Hyperlink"/>
                </w:rPr>
                <w:t>Catch files</w:t>
              </w:r>
            </w:hyperlink>
            <w:r>
              <w:t xml:space="preserve"> | </w:t>
            </w:r>
            <w:hyperlink r:id="rId8">
              <w:r>
                <w:rPr>
                  <w:rStyle w:val="Hyperlink"/>
                </w:rPr>
                <w:t>Taxon metadata</w:t>
              </w:r>
            </w:hyperlink>
          </w:p>
        </w:tc>
      </w:tr>
      <w:tr w:rsidR="005C72CA" w14:paraId="51E2B64C"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D8CBA11" w14:textId="77777777" w:rsidR="005C72CA" w:rsidRDefault="00000000">
            <w:pPr>
              <w:spacing w:after="40"/>
            </w:pPr>
            <w:r>
              <w:rPr>
                <w:b/>
                <w:sz w:val="21"/>
              </w:rPr>
              <w:t>Selected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ACAD9AC" w14:textId="77777777" w:rsidR="005C72CA" w:rsidRDefault="00000000">
            <w:pPr>
              <w:spacing w:after="40" w:line="240" w:lineRule="auto"/>
            </w:pPr>
            <w:r>
              <w:rPr>
                <w:color w:val="000000"/>
                <w:sz w:val="21"/>
              </w:rPr>
              <w:t>Mohamed K. S., Zacharia P. U., Muthiah C., Abdurahiman K. P., Nayak T. H. (2008). Trophic Modelling of the Arabian Sea Ecosystem off Karnataka and Simulation of Fishery Yields. CMFRI Bulletin 51. No DOI recorded.</w:t>
            </w:r>
          </w:p>
          <w:p w14:paraId="230D5781" w14:textId="77777777" w:rsidR="005C72CA" w:rsidRDefault="00000000">
            <w:hyperlink r:id="rId9">
              <w:r>
                <w:rPr>
                  <w:rStyle w:val="Hyperlink"/>
                </w:rPr>
                <w:t>Paper PDF</w:t>
              </w:r>
            </w:hyperlink>
            <w:r>
              <w:t xml:space="preserve"> | </w:t>
            </w:r>
            <w:hyperlink r:id="rId10">
              <w:r>
                <w:rPr>
                  <w:rStyle w:val="Hyperlink"/>
                </w:rPr>
                <w:t>Official source</w:t>
              </w:r>
            </w:hyperlink>
          </w:p>
        </w:tc>
      </w:tr>
      <w:tr w:rsidR="005C72CA" w14:paraId="75688DB1"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1785190" w14:textId="77777777" w:rsidR="005C72CA" w:rsidRDefault="00000000">
            <w:pPr>
              <w:spacing w:after="40"/>
            </w:pPr>
            <w:r>
              <w:rPr>
                <w:b/>
                <w:sz w:val="21"/>
              </w:rPr>
              <w:t>Other known articles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FDDAD84" w14:textId="77777777" w:rsidR="005C72CA" w:rsidRDefault="00000000">
            <w:pPr>
              <w:spacing w:after="40" w:line="240" w:lineRule="auto"/>
            </w:pPr>
            <w:r>
              <w:rPr>
                <w:color w:val="000000"/>
                <w:sz w:val="21"/>
              </w:rPr>
              <w:t>Vivekanandan et al. (2003), Southwest Coast of India coastal fisheries model,11 groups. Mohamed &amp; Zacharia(2009), Karnataka Ecosim yield simulations. Mohamed(2024), northeastern Arabian Sea model off Maharashtra/Gujarat.</w:t>
            </w:r>
          </w:p>
          <w:p w14:paraId="7656A799" w14:textId="77777777" w:rsidR="005C72CA" w:rsidRDefault="00000000">
            <w:hyperlink r:id="rId11">
              <w:r>
                <w:rPr>
                  <w:rStyle w:val="Hyperlink"/>
                </w:rPr>
                <w:t>Mohamed-2009 PDF</w:t>
              </w:r>
            </w:hyperlink>
            <w:r>
              <w:t xml:space="preserve"> | </w:t>
            </w:r>
            <w:hyperlink r:id="rId12">
              <w:r>
                <w:rPr>
                  <w:rStyle w:val="Hyperlink"/>
                </w:rPr>
                <w:t>Mohamed-2024 PDF</w:t>
              </w:r>
            </w:hyperlink>
            <w:r>
              <w:t xml:space="preserve"> | </w:t>
            </w:r>
            <w:hyperlink r:id="rId13">
              <w:r>
                <w:rPr>
                  <w:rStyle w:val="Hyperlink"/>
                </w:rPr>
                <w:t>Vivekanandan-2003 PDF</w:t>
              </w:r>
            </w:hyperlink>
          </w:p>
        </w:tc>
      </w:tr>
      <w:tr w:rsidR="005C72CA" w14:paraId="02682148"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710BBE8" w14:textId="77777777" w:rsidR="005C72CA" w:rsidRDefault="00000000">
            <w:pPr>
              <w:spacing w:after="40"/>
            </w:pPr>
            <w:r>
              <w:rPr>
                <w:b/>
                <w:sz w:val="21"/>
              </w:rPr>
              <w:t>Selected model</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8058FD1" w14:textId="77777777" w:rsidR="005C72CA" w:rsidRDefault="00000000">
            <w:pPr>
              <w:spacing w:after="40" w:line="240" w:lineRule="auto"/>
            </w:pPr>
            <w:r>
              <w:rPr>
                <w:color w:val="000000"/>
                <w:sz w:val="21"/>
              </w:rPr>
              <w:t>32_1_Arabian_Sea_off_Karnataka_(2000). Baseline landings 1999–2001; 27,000 km² Karnataka shelf and parts of slope, exploitation to 200 m. 24 source groups plus synthetic diet_import(ID 25).</w:t>
            </w:r>
          </w:p>
          <w:p w14:paraId="386B2B47" w14:textId="77777777" w:rsidR="005C72CA" w:rsidRDefault="00000000">
            <w:hyperlink r:id="rId14">
              <w:r>
                <w:rPr>
                  <w:rStyle w:val="Hyperlink"/>
                </w:rPr>
                <w:t>Model JSON</w:t>
              </w:r>
            </w:hyperlink>
            <w:r>
              <w:t xml:space="preserve"> | </w:t>
            </w:r>
            <w:hyperlink r:id="rId15">
              <w:r>
                <w:rPr>
                  <w:rStyle w:val="Hyperlink"/>
                </w:rPr>
                <w:t>Group coefficients</w:t>
              </w:r>
            </w:hyperlink>
          </w:p>
        </w:tc>
      </w:tr>
      <w:tr w:rsidR="005C72CA" w14:paraId="3695DE57"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FD17C81" w14:textId="77777777" w:rsidR="005C72CA" w:rsidRDefault="00000000">
            <w:pPr>
              <w:spacing w:after="40" w:line="240" w:lineRule="auto"/>
            </w:pPr>
            <w:r>
              <w:rPr>
                <w:b/>
                <w:color w:val="000000"/>
                <w:sz w:val="21"/>
              </w:rPr>
              <w:t>Other models from the same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2A2474B" w14:textId="77777777" w:rsidR="005C72CA" w:rsidRDefault="00000000">
            <w:pPr>
              <w:spacing w:after="40" w:line="240" w:lineRule="auto"/>
            </w:pPr>
            <w:r>
              <w:rPr>
                <w:color w:val="000000"/>
                <w:sz w:val="21"/>
              </w:rPr>
              <w:t>One Karnataka baseline Ecopath model is identified. Original and balanced diet tables are reconstruction states of that model; Ecosim effort/yield scenarios are simulations, not separately selected Ecopath models.</w:t>
            </w:r>
          </w:p>
        </w:tc>
      </w:tr>
      <w:tr w:rsidR="005C72CA" w14:paraId="3AF62BE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E7F7E22" w14:textId="77777777" w:rsidR="005C72CA" w:rsidRDefault="00000000">
            <w:pPr>
              <w:spacing w:after="40"/>
            </w:pPr>
            <w:r>
              <w:rPr>
                <w:b/>
                <w:sz w:val="21"/>
              </w:rPr>
              <w:t>Selection rationale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C169F9D" w14:textId="18CAAE56" w:rsidR="005C72CA" w:rsidRDefault="00000000">
            <w:pPr>
              <w:spacing w:after="40" w:line="240" w:lineRule="auto"/>
            </w:pPr>
            <w:r>
              <w:rPr>
                <w:color w:val="000000"/>
                <w:sz w:val="21"/>
              </w:rPr>
              <w:t xml:space="preserve">Article </w:t>
            </w:r>
            <w:proofErr w:type="gramStart"/>
            <w:r>
              <w:rPr>
                <w:color w:val="000000"/>
                <w:sz w:val="21"/>
              </w:rPr>
              <w:t>— ?</w:t>
            </w:r>
            <w:proofErr w:type="gramEnd"/>
            <w:r>
              <w:rPr>
                <w:color w:val="000000"/>
                <w:sz w:val="21"/>
              </w:rPr>
              <w:br/>
              <w:t xml:space="preserve">Model </w:t>
            </w:r>
            <w:proofErr w:type="gramStart"/>
            <w:r>
              <w:rPr>
                <w:color w:val="000000"/>
                <w:sz w:val="21"/>
              </w:rPr>
              <w:t xml:space="preserve">— </w:t>
            </w:r>
            <w:r w:rsidR="00995EAB">
              <w:rPr>
                <w:color w:val="000000"/>
                <w:sz w:val="21"/>
              </w:rPr>
              <w:t>?</w:t>
            </w:r>
            <w:proofErr w:type="gramEnd"/>
          </w:p>
        </w:tc>
      </w:tr>
      <w:tr w:rsidR="005C72CA" w14:paraId="03895D77"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0FEAC5D" w14:textId="77777777" w:rsidR="005C72CA" w:rsidRDefault="00000000">
            <w:pPr>
              <w:spacing w:after="40"/>
            </w:pPr>
            <w:r>
              <w:rPr>
                <w:b/>
                <w:sz w:val="21"/>
              </w:rPr>
              <w:t>Model extraction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E7D110D" w14:textId="77777777" w:rsidR="005606F0" w:rsidRPr="005606F0" w:rsidRDefault="00000000" w:rsidP="005606F0">
            <w:pPr>
              <w:pStyle w:val="ae"/>
              <w:numPr>
                <w:ilvl w:val="0"/>
                <w:numId w:val="10"/>
              </w:numPr>
              <w:spacing w:after="40" w:line="240" w:lineRule="auto"/>
            </w:pPr>
            <w:r w:rsidRPr="005606F0">
              <w:rPr>
                <w:color w:val="000000"/>
                <w:sz w:val="21"/>
              </w:rPr>
              <w:t>Printed diet column sums 0.999–1.001 are normalized by their actual sums.</w:t>
            </w:r>
          </w:p>
          <w:p w14:paraId="152719CB" w14:textId="2A623465" w:rsidR="005C72CA" w:rsidRDefault="005606F0" w:rsidP="005606F0">
            <w:pPr>
              <w:pStyle w:val="ae"/>
              <w:numPr>
                <w:ilvl w:val="0"/>
                <w:numId w:val="10"/>
              </w:numPr>
              <w:spacing w:after="40" w:line="240" w:lineRule="auto"/>
            </w:pPr>
            <w:r>
              <w:rPr>
                <w:sz w:val="21"/>
              </w:rPr>
              <w:t>GS not reported; default runtime values are filled</w:t>
            </w:r>
            <w:r w:rsidR="00000000" w:rsidRPr="005606F0">
              <w:rPr>
                <w:color w:val="000000"/>
                <w:sz w:val="21"/>
              </w:rPr>
              <w:t>.</w:t>
            </w:r>
          </w:p>
          <w:p w14:paraId="5247D79C" w14:textId="4B2941F8" w:rsidR="005606F0" w:rsidRDefault="005606F0" w:rsidP="005606F0">
            <w:pPr>
              <w:pStyle w:val="ae"/>
              <w:numPr>
                <w:ilvl w:val="0"/>
                <w:numId w:val="10"/>
              </w:numPr>
              <w:spacing w:after="40" w:line="240" w:lineRule="auto"/>
            </w:pPr>
            <w:r w:rsidRPr="005606F0">
              <w:rPr>
                <w:color w:val="000000"/>
                <w:sz w:val="21"/>
              </w:rPr>
              <w:t xml:space="preserve">The paper specifies zero biomass accumulation; this replaces missing BA </w:t>
            </w:r>
            <w:r>
              <w:rPr>
                <w:color w:val="000000"/>
                <w:sz w:val="21"/>
              </w:rPr>
              <w:t>LIM solving</w:t>
            </w:r>
            <w:r w:rsidRPr="005606F0">
              <w:rPr>
                <w:color w:val="000000"/>
                <w:sz w:val="21"/>
              </w:rPr>
              <w:t xml:space="preserve"> </w:t>
            </w:r>
            <w:r>
              <w:rPr>
                <w:color w:val="000000"/>
                <w:sz w:val="21"/>
              </w:rPr>
              <w:t>for balance</w:t>
            </w:r>
            <w:r w:rsidR="008F25B2">
              <w:t xml:space="preserve"> (extracted as 0, not filled during runtime).</w:t>
            </w:r>
          </w:p>
          <w:p w14:paraId="6200848C" w14:textId="0647792A" w:rsidR="00D32D06" w:rsidRDefault="00D32D06" w:rsidP="00D32D06">
            <w:pPr>
              <w:pStyle w:val="ae"/>
              <w:numPr>
                <w:ilvl w:val="1"/>
                <w:numId w:val="10"/>
              </w:numPr>
              <w:spacing w:after="40" w:line="240" w:lineRule="auto"/>
            </w:pPr>
            <w:r>
              <w:t>RESEARCHER VERIFIED – this does not affect SPPR results.</w:t>
            </w:r>
          </w:p>
          <w:p w14:paraId="18154875" w14:textId="77777777" w:rsidR="005C72CA" w:rsidRDefault="00000000">
            <w:hyperlink r:id="rId16">
              <w:r>
                <w:rPr>
                  <w:rStyle w:val="Hyperlink"/>
                </w:rPr>
                <w:t>Source re</w:t>
              </w:r>
              <w:r>
                <w:rPr>
                  <w:rStyle w:val="Hyperlink"/>
                </w:rPr>
                <w:t>c</w:t>
              </w:r>
              <w:r>
                <w:rPr>
                  <w:rStyle w:val="Hyperlink"/>
                </w:rPr>
                <w:t>onstr</w:t>
              </w:r>
              <w:r>
                <w:rPr>
                  <w:rStyle w:val="Hyperlink"/>
                </w:rPr>
                <w:t>u</w:t>
              </w:r>
              <w:r>
                <w:rPr>
                  <w:rStyle w:val="Hyperlink"/>
                </w:rPr>
                <w:t>ction</w:t>
              </w:r>
            </w:hyperlink>
            <w:r>
              <w:t xml:space="preserve"> | </w:t>
            </w:r>
            <w:hyperlink r:id="rId17">
              <w:r>
                <w:rPr>
                  <w:rStyle w:val="Hyperlink"/>
                </w:rPr>
                <w:t>Loaded stat</w:t>
              </w:r>
              <w:r>
                <w:rPr>
                  <w:rStyle w:val="Hyperlink"/>
                </w:rPr>
                <w:t>e</w:t>
              </w:r>
            </w:hyperlink>
          </w:p>
        </w:tc>
      </w:tr>
      <w:tr w:rsidR="00B73568" w14:paraId="0EEFBA84"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7D3511B" w14:textId="54CCE94B" w:rsidR="00B73568" w:rsidRDefault="00B73568" w:rsidP="00B73568">
            <w:pPr>
              <w:spacing w:after="40"/>
            </w:pPr>
            <w:r>
              <w:rPr>
                <w:b/>
                <w:sz w:val="21"/>
              </w:rPr>
              <w:t>GE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7C00DE2" w14:textId="15611BB4" w:rsidR="0008393C" w:rsidRDefault="00E63FED" w:rsidP="00B73568">
            <w:pPr>
              <w:spacing w:after="40" w:line="240" w:lineRule="auto"/>
              <w:rPr>
                <w:color w:val="000000"/>
                <w:sz w:val="21"/>
              </w:rPr>
            </w:pPr>
            <w:r>
              <w:rPr>
                <w:color w:val="000000"/>
                <w:sz w:val="21"/>
              </w:rPr>
              <w:t>OK</w:t>
            </w:r>
          </w:p>
          <w:p w14:paraId="490A354E" w14:textId="109C8199" w:rsidR="0008393C" w:rsidRDefault="00B73568" w:rsidP="00B73568">
            <w:pPr>
              <w:spacing w:after="40" w:line="240" w:lineRule="auto"/>
              <w:rPr>
                <w:color w:val="000000"/>
                <w:sz w:val="21"/>
              </w:rPr>
            </w:pPr>
            <w:r>
              <w:rPr>
                <w:color w:val="000000"/>
                <w:sz w:val="21"/>
              </w:rPr>
              <w:t>No negative SPPR entries across the basal-source columns.</w:t>
            </w:r>
            <w:r>
              <w:rPr>
                <w:color w:val="000000"/>
                <w:sz w:val="21"/>
              </w:rPr>
              <w:br/>
            </w:r>
            <w:proofErr w:type="spellStart"/>
            <w:r>
              <w:rPr>
                <w:color w:val="000000"/>
                <w:sz w:val="21"/>
              </w:rPr>
              <w:t>rho_living</w:t>
            </w:r>
            <w:proofErr w:type="spellEnd"/>
            <w:r>
              <w:rPr>
                <w:color w:val="000000"/>
                <w:sz w:val="21"/>
              </w:rPr>
              <w:t xml:space="preserve"> = 0.5</w:t>
            </w:r>
            <w:r w:rsidR="0008393C">
              <w:rPr>
                <w:color w:val="000000"/>
                <w:sz w:val="21"/>
              </w:rPr>
              <w:t>8</w:t>
            </w:r>
          </w:p>
          <w:p w14:paraId="12318A61" w14:textId="77777777" w:rsidR="00B73568" w:rsidRDefault="00B73568" w:rsidP="00B73568">
            <w:pPr>
              <w:spacing w:after="40" w:line="240" w:lineRule="auto"/>
            </w:pPr>
            <w:r>
              <w:rPr>
                <w:color w:val="000000"/>
                <w:sz w:val="21"/>
              </w:rPr>
              <w:t>b = 0.5</w:t>
            </w:r>
            <w:r w:rsidR="0008393C">
              <w:rPr>
                <w:color w:val="000000"/>
                <w:sz w:val="21"/>
              </w:rPr>
              <w:t>2</w:t>
            </w:r>
            <w:r>
              <w:rPr>
                <w:color w:val="000000"/>
                <w:sz w:val="21"/>
              </w:rPr>
              <w:br/>
            </w:r>
            <w:proofErr w:type="gramStart"/>
            <w:r>
              <w:rPr>
                <w:color w:val="000000"/>
                <w:sz w:val="21"/>
              </w:rPr>
              <w:t>Detritus(</w:t>
            </w:r>
            <w:proofErr w:type="gramEnd"/>
            <w:r>
              <w:rPr>
                <w:color w:val="000000"/>
                <w:sz w:val="21"/>
              </w:rPr>
              <w:t>ID 24): SPPR = 2.22</w:t>
            </w:r>
          </w:p>
          <w:p w14:paraId="0B498D1E" w14:textId="77777777" w:rsidR="00E63FED" w:rsidRDefault="00E63FED" w:rsidP="00B73568">
            <w:pPr>
              <w:spacing w:after="40" w:line="240" w:lineRule="auto"/>
            </w:pPr>
            <w:r w:rsidRPr="000C5A17">
              <w:rPr>
                <w:color w:val="000000"/>
                <w:sz w:val="21"/>
              </w:rPr>
              <w:t xml:space="preserve">Sppr calculation is </w:t>
            </w:r>
            <w:r>
              <w:rPr>
                <w:color w:val="000000"/>
                <w:sz w:val="21"/>
              </w:rPr>
              <w:t xml:space="preserve">almost </w:t>
            </w:r>
            <w:r w:rsidRPr="000C5A17">
              <w:rPr>
                <w:color w:val="000000"/>
                <w:sz w:val="21"/>
              </w:rPr>
              <w:t>balanced (inflow=outflow).</w:t>
            </w:r>
          </w:p>
          <w:p w14:paraId="4AEA05DD" w14:textId="5F380176" w:rsidR="00E63FED" w:rsidRDefault="00E63FED" w:rsidP="00E63FED">
            <w:pPr>
              <w:pStyle w:val="ae"/>
              <w:numPr>
                <w:ilvl w:val="0"/>
                <w:numId w:val="10"/>
              </w:numPr>
              <w:spacing w:after="40" w:line="240" w:lineRule="auto"/>
            </w:pPr>
            <w:r>
              <w:t>Balanced once BA is allowed to divert from 0.</w:t>
            </w:r>
          </w:p>
        </w:tc>
      </w:tr>
      <w:tr w:rsidR="00B73568" w14:paraId="659106A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C14FEA1" w14:textId="3919F590" w:rsidR="00B73568" w:rsidRDefault="00B73568" w:rsidP="00B73568">
            <w:pPr>
              <w:spacing w:after="40"/>
              <w:rPr>
                <w:b/>
                <w:sz w:val="21"/>
              </w:rPr>
            </w:pPr>
            <w:r>
              <w:rPr>
                <w:b/>
                <w:sz w:val="21"/>
              </w:rPr>
              <w:lastRenderedPageBreak/>
              <w:t>TE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BAAC77D" w14:textId="0020F635" w:rsidR="0008393C" w:rsidRDefault="0008393C" w:rsidP="0008393C">
            <w:pPr>
              <w:spacing w:after="40" w:line="240" w:lineRule="auto"/>
              <w:rPr>
                <w:color w:val="000000"/>
                <w:sz w:val="21"/>
              </w:rPr>
            </w:pPr>
            <w:r>
              <w:rPr>
                <w:color w:val="000000"/>
                <w:sz w:val="21"/>
              </w:rPr>
              <w:t>WARN: near-zero efficiency in (34) marine mammals (GE=1.5%</w:t>
            </w:r>
            <w:r>
              <w:rPr>
                <w:color w:val="000000"/>
                <w:sz w:val="21"/>
              </w:rPr>
              <w:t>, EE=5%</w:t>
            </w:r>
            <w:r>
              <w:rPr>
                <w:color w:val="000000"/>
                <w:sz w:val="21"/>
              </w:rPr>
              <w:t>)</w:t>
            </w:r>
            <w:r>
              <w:rPr>
                <w:color w:val="000000"/>
                <w:sz w:val="21"/>
              </w:rPr>
              <w:t>.</w:t>
            </w:r>
          </w:p>
          <w:p w14:paraId="20458BCB" w14:textId="77777777" w:rsidR="00B73568" w:rsidRDefault="00B73568" w:rsidP="00B73568">
            <w:pPr>
              <w:spacing w:after="40" w:line="240" w:lineRule="auto"/>
              <w:rPr>
                <w:color w:val="000000"/>
                <w:sz w:val="21"/>
              </w:rPr>
            </w:pPr>
            <w:r>
              <w:rPr>
                <w:color w:val="000000"/>
                <w:sz w:val="21"/>
              </w:rPr>
              <w:t>No negative SPPR entries across the basal-source columns.</w:t>
            </w:r>
            <w:r>
              <w:rPr>
                <w:color w:val="000000"/>
                <w:sz w:val="21"/>
              </w:rPr>
              <w:br/>
            </w:r>
            <w:proofErr w:type="spellStart"/>
            <w:r>
              <w:rPr>
                <w:color w:val="000000"/>
                <w:sz w:val="21"/>
              </w:rPr>
              <w:t>rho_living</w:t>
            </w:r>
            <w:proofErr w:type="spellEnd"/>
            <w:r>
              <w:rPr>
                <w:color w:val="000000"/>
                <w:sz w:val="21"/>
              </w:rPr>
              <w:t xml:space="preserve"> = 0.67</w:t>
            </w:r>
            <w:r>
              <w:rPr>
                <w:color w:val="000000"/>
                <w:sz w:val="21"/>
              </w:rPr>
              <w:br/>
            </w:r>
            <w:proofErr w:type="gramStart"/>
            <w:r>
              <w:rPr>
                <w:color w:val="000000"/>
                <w:sz w:val="21"/>
              </w:rPr>
              <w:t>Detritus(</w:t>
            </w:r>
            <w:proofErr w:type="gramEnd"/>
            <w:r>
              <w:rPr>
                <w:color w:val="000000"/>
                <w:sz w:val="21"/>
              </w:rPr>
              <w:t>ID 24): SPPR = 0.32.</w:t>
            </w:r>
          </w:p>
          <w:p w14:paraId="2710B993" w14:textId="77777777" w:rsidR="00E63FED" w:rsidRDefault="00E63FED" w:rsidP="00E63FED">
            <w:pPr>
              <w:spacing w:after="40" w:line="240" w:lineRule="auto"/>
            </w:pPr>
            <w:r w:rsidRPr="000C5A17">
              <w:rPr>
                <w:color w:val="000000"/>
                <w:sz w:val="21"/>
              </w:rPr>
              <w:t xml:space="preserve">Sppr calculation is </w:t>
            </w:r>
            <w:r>
              <w:rPr>
                <w:color w:val="000000"/>
                <w:sz w:val="21"/>
              </w:rPr>
              <w:t xml:space="preserve">almost </w:t>
            </w:r>
            <w:r w:rsidRPr="000C5A17">
              <w:rPr>
                <w:color w:val="000000"/>
                <w:sz w:val="21"/>
              </w:rPr>
              <w:t>balanced (inflow=outflow).</w:t>
            </w:r>
          </w:p>
          <w:p w14:paraId="4C7953CF" w14:textId="47ABF32D" w:rsidR="00E63FED" w:rsidRDefault="00E63FED" w:rsidP="00E63FED">
            <w:pPr>
              <w:spacing w:after="40" w:line="240" w:lineRule="auto"/>
              <w:rPr>
                <w:color w:val="000000"/>
                <w:sz w:val="21"/>
              </w:rPr>
            </w:pPr>
            <w:r>
              <w:t>Balanced once BA is allowed to divert from 0.</w:t>
            </w:r>
          </w:p>
        </w:tc>
      </w:tr>
      <w:tr w:rsidR="00B73568" w14:paraId="4D0BFB8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B5AAB6B" w14:textId="24BC6BF3" w:rsidR="00B73568" w:rsidRDefault="00B73568" w:rsidP="00B73568">
            <w:pPr>
              <w:spacing w:after="40"/>
              <w:rPr>
                <w:b/>
                <w:sz w:val="21"/>
              </w:rPr>
            </w:pPr>
            <w:r>
              <w:rPr>
                <w:b/>
                <w:sz w:val="21"/>
              </w:rPr>
              <w:t>SPPR calculation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8E91785" w14:textId="186980A5" w:rsidR="00D32D06" w:rsidRDefault="00D32D06" w:rsidP="00D32D06">
            <w:pPr>
              <w:spacing w:after="40"/>
              <w:rPr>
                <w:sz w:val="21"/>
              </w:rPr>
            </w:pPr>
            <w:r>
              <w:rPr>
                <w:sz w:val="21"/>
              </w:rPr>
              <w:t xml:space="preserve">Model-input is </w:t>
            </w:r>
            <w:r w:rsidR="00E63FED">
              <w:rPr>
                <w:sz w:val="21"/>
              </w:rPr>
              <w:t xml:space="preserve">not </w:t>
            </w:r>
            <w:r>
              <w:rPr>
                <w:sz w:val="21"/>
              </w:rPr>
              <w:t>mass-balanced.</w:t>
            </w:r>
            <w:r>
              <w:rPr>
                <w:sz w:val="21"/>
              </w:rPr>
              <w:t xml:space="preserve"> Using non-zero BA values balances </w:t>
            </w:r>
            <w:proofErr w:type="gramStart"/>
            <w:r>
              <w:rPr>
                <w:sz w:val="21"/>
              </w:rPr>
              <w:t>it, and</w:t>
            </w:r>
            <w:proofErr w:type="gramEnd"/>
            <w:r>
              <w:rPr>
                <w:sz w:val="21"/>
              </w:rPr>
              <w:t xml:space="preserve"> does not affect PPR results.</w:t>
            </w:r>
          </w:p>
          <w:p w14:paraId="335D3DF1" w14:textId="77777777" w:rsidR="00D32D06" w:rsidRDefault="00D32D06" w:rsidP="00D32D06">
            <w:pPr>
              <w:spacing w:after="40"/>
              <w:rPr>
                <w:sz w:val="21"/>
              </w:rPr>
            </w:pPr>
            <w:r>
              <w:rPr>
                <w:sz w:val="21"/>
              </w:rPr>
              <w:t>DC rows sum to 1.</w:t>
            </w:r>
          </w:p>
          <w:p w14:paraId="2E571DDD" w14:textId="77777777" w:rsidR="00B73568" w:rsidRDefault="00B73568" w:rsidP="00B73568">
            <w:pPr>
              <w:spacing w:after="40" w:line="240" w:lineRule="auto"/>
              <w:rPr>
                <w:sz w:val="21"/>
              </w:rPr>
            </w:pPr>
          </w:p>
          <w:p w14:paraId="5F21712A" w14:textId="77777777" w:rsidR="00E63FED" w:rsidRDefault="00E63FED" w:rsidP="00E63FED">
            <w:pPr>
              <w:spacing w:after="40"/>
              <w:rPr>
                <w:sz w:val="21"/>
              </w:rPr>
            </w:pPr>
            <w:r>
              <w:rPr>
                <w:sz w:val="21"/>
              </w:rPr>
              <w:t>Removed groups from calculation:</w:t>
            </w:r>
          </w:p>
          <w:p w14:paraId="506EFDD0" w14:textId="49CBEA54" w:rsidR="00E63FED" w:rsidRPr="00E63FED" w:rsidRDefault="00E63FED" w:rsidP="00E63FED">
            <w:pPr>
              <w:pStyle w:val="ae"/>
              <w:numPr>
                <w:ilvl w:val="0"/>
                <w:numId w:val="11"/>
              </w:numPr>
              <w:spacing w:after="40"/>
            </w:pPr>
            <w:r>
              <w:rPr>
                <w:color w:val="000000"/>
                <w:sz w:val="21"/>
              </w:rPr>
              <w:t>marine mammals (GE=1.5%, EE=5</w:t>
            </w:r>
            <w:r>
              <w:rPr>
                <w:color w:val="000000"/>
                <w:sz w:val="21"/>
              </w:rPr>
              <w:t xml:space="preserve">, </w:t>
            </w:r>
            <w:r>
              <w:t>TL=</w:t>
            </w:r>
            <w:r>
              <w:t>4.06</w:t>
            </w:r>
            <w:r>
              <w:t xml:space="preserve">, </w:t>
            </w:r>
            <w:proofErr w:type="spellStart"/>
            <w:r>
              <w:t>sppr_TE</w:t>
            </w:r>
            <w:proofErr w:type="spellEnd"/>
            <w:r>
              <w:t>=</w:t>
            </w:r>
            <w:r>
              <w:t>495K</w:t>
            </w:r>
            <w:r>
              <w:t xml:space="preserve">, </w:t>
            </w:r>
            <w:proofErr w:type="spellStart"/>
            <w:r>
              <w:t>sppr_GE</w:t>
            </w:r>
            <w:proofErr w:type="spellEnd"/>
            <w:r>
              <w:t>=14.4K)</w:t>
            </w:r>
          </w:p>
        </w:tc>
      </w:tr>
      <w:tr w:rsidR="005C72CA" w14:paraId="5317334C"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1FFAE63" w14:textId="77777777" w:rsidR="005C72CA" w:rsidRDefault="00000000">
            <w:pPr>
              <w:spacing w:after="40"/>
            </w:pPr>
            <w:r>
              <w:rPr>
                <w:b/>
                <w:sz w:val="21"/>
              </w:rPr>
              <w:t>Geographic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8D1C8F4" w14:textId="77777777" w:rsidR="005C72CA" w:rsidRDefault="00000000">
            <w:pPr>
              <w:spacing w:after="40" w:line="240" w:lineRule="auto"/>
            </w:pPr>
            <w:r>
              <w:rPr>
                <w:color w:val="000000"/>
                <w:sz w:val="21"/>
              </w:rPr>
              <w:t>A. Region covered by study: approximately 0.65–0.69%.</w:t>
            </w:r>
            <w:r>
              <w:rPr>
                <w:color w:val="000000"/>
                <w:sz w:val="21"/>
              </w:rPr>
              <w:br/>
              <w:t>B. Study area covered by region: approximately 95–100%.</w:t>
            </w:r>
          </w:p>
        </w:tc>
      </w:tr>
      <w:tr w:rsidR="005C72CA" w14:paraId="2002E8D1"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C17D1B6" w14:textId="77777777" w:rsidR="005C72CA" w:rsidRDefault="00000000">
            <w:pPr>
              <w:spacing w:after="40"/>
            </w:pPr>
            <w:r>
              <w:rPr>
                <w:b/>
                <w:sz w:val="21"/>
              </w:rPr>
              <w:t>Temporal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8D50A8E" w14:textId="77777777" w:rsidR="005C72CA" w:rsidRDefault="00000000">
            <w:pPr>
              <w:spacing w:after="40" w:line="240" w:lineRule="auto"/>
            </w:pPr>
            <w:r>
              <w:rPr>
                <w:color w:val="000000"/>
                <w:sz w:val="21"/>
              </w:rPr>
              <w:t>Model baseline 1999–2001 is transferred over catch 1950–2019, including the 2019 reference. Fixed model coefficients and assumed category weights do not reconstruct changing annual ecosystems. Regional lineage weights use identified total catch 1950–2019, then transfer across individual years and bases. Catfish and flatfish proxy weights have substantial reporting geography, gear or period mismatches.</w:t>
            </w:r>
          </w:p>
        </w:tc>
      </w:tr>
      <w:tr w:rsidR="005C72CA" w14:paraId="2D732339"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AAA5DE3" w14:textId="77777777" w:rsidR="005C72CA" w:rsidRDefault="00000000">
            <w:pPr>
              <w:spacing w:after="40"/>
            </w:pPr>
            <w:r>
              <w:rPr>
                <w:b/>
                <w:sz w:val="21"/>
              </w:rPr>
              <w:t>Other</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80C5DB2" w14:textId="5CE0B616" w:rsidR="005C72CA" w:rsidRDefault="005C72CA"/>
        </w:tc>
      </w:tr>
      <w:tr w:rsidR="005C72CA" w14:paraId="45B06949"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51B05F8" w14:textId="77777777" w:rsidR="005C72CA" w:rsidRDefault="00000000">
            <w:pPr>
              <w:spacing w:after="40"/>
            </w:pPr>
            <w:r>
              <w:rPr>
                <w:b/>
                <w:sz w:val="21"/>
              </w:rPr>
              <w:t>Open issues and next 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8C0C0C6" w14:textId="74234C41" w:rsidR="005C72CA" w:rsidRDefault="00E63FED" w:rsidP="00E63FED">
            <w:pPr>
              <w:pStyle w:val="ae"/>
              <w:numPr>
                <w:ilvl w:val="0"/>
                <w:numId w:val="11"/>
              </w:numPr>
              <w:spacing w:after="40"/>
            </w:pPr>
            <w:r>
              <w:t>find a model that better covers the LME</w:t>
            </w:r>
          </w:p>
        </w:tc>
      </w:tr>
      <w:tr w:rsidR="005C72CA" w14:paraId="41CC008F"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BC3EAF1" w14:textId="77777777" w:rsidR="005C72CA" w:rsidRDefault="00000000">
            <w:pPr>
              <w:spacing w:after="40"/>
            </w:pPr>
            <w:r>
              <w:rPr>
                <w:b/>
                <w:sz w:val="21"/>
              </w:rPr>
              <w:t>Review and reproducibility</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557E2DC" w14:textId="4F7607BB" w:rsidR="00E63FED" w:rsidRDefault="00E63FED" w:rsidP="00E63FED">
            <w:pPr>
              <w:spacing w:after="40"/>
              <w:rPr>
                <w:sz w:val="21"/>
              </w:rPr>
            </w:pPr>
            <w:r>
              <w:rPr>
                <w:sz w:val="21"/>
              </w:rPr>
              <w:t xml:space="preserve">Researcher name: Ido Carmel | review date: </w:t>
            </w:r>
            <w:r>
              <w:rPr>
                <w:sz w:val="21"/>
              </w:rPr>
              <w:t>01</w:t>
            </w:r>
            <w:r>
              <w:rPr>
                <w:sz w:val="21"/>
              </w:rPr>
              <w:t>/</w:t>
            </w:r>
            <w:r>
              <w:rPr>
                <w:sz w:val="21"/>
              </w:rPr>
              <w:t>10</w:t>
            </w:r>
            <w:r>
              <w:rPr>
                <w:sz w:val="21"/>
              </w:rPr>
              <w:t>/2026</w:t>
            </w:r>
          </w:p>
          <w:p w14:paraId="4618D5B9" w14:textId="12E569CC" w:rsidR="005C72CA" w:rsidRDefault="00000000">
            <w:pPr>
              <w:spacing w:after="40"/>
            </w:pPr>
            <w:r>
              <w:rPr>
                <w:sz w:val="21"/>
              </w:rPr>
              <w:br/>
            </w:r>
            <w:r w:rsidR="00E63FED" w:rsidRPr="000C5A17">
              <w:rPr>
                <w:b/>
                <w:bCs/>
                <w:sz w:val="21"/>
              </w:rPr>
              <w:t>MODEL VALIDATED</w:t>
            </w:r>
          </w:p>
        </w:tc>
      </w:tr>
      <w:tr w:rsidR="008F25B2" w14:paraId="17577830"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2C5EB07" w14:textId="77777777" w:rsidR="008F25B2" w:rsidRDefault="008F25B2">
            <w:pPr>
              <w:spacing w:after="40"/>
              <w:rPr>
                <w:b/>
                <w:sz w:val="21"/>
              </w:rPr>
            </w:pP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DD60A56" w14:textId="2D397AEE" w:rsidR="008F25B2" w:rsidRDefault="008F25B2">
            <w:pPr>
              <w:spacing w:after="40"/>
              <w:rPr>
                <w:sz w:val="21"/>
              </w:rPr>
            </w:pPr>
            <w:r>
              <w:rPr>
                <w:noProof/>
              </w:rPr>
              <w:t xml:space="preserve"> </w:t>
            </w:r>
          </w:p>
        </w:tc>
      </w:tr>
    </w:tbl>
    <w:p w14:paraId="4A3E4C6F" w14:textId="77777777" w:rsidR="005C72CA" w:rsidRDefault="00000000">
      <w:pPr>
        <w:keepNext/>
        <w:pageBreakBefore/>
        <w:spacing w:after="120"/>
      </w:pPr>
      <w:r>
        <w:rPr>
          <w:b/>
          <w:color w:val="000000"/>
          <w:sz w:val="30"/>
        </w:rPr>
        <w:lastRenderedPageBreak/>
        <w:t>Taxon mapping and coverage</w:t>
      </w:r>
    </w:p>
    <w:p w14:paraId="53071A09" w14:textId="77777777" w:rsidR="005C72CA" w:rsidRDefault="00000000">
      <w:pPr>
        <w:spacing w:after="120"/>
      </w:pPr>
      <w:r>
        <w:rPr>
          <w:color w:val="000000"/>
          <w:sz w:val="21"/>
        </w:rPr>
        <w:t>Reference: 2019 landings; all 430 catch labels, including zero catches. Independent all-taxon simple-chain PPR; no group filter.</w:t>
      </w:r>
    </w:p>
    <w:p w14:paraId="527EB1B2" w14:textId="77777777" w:rsidR="005C72CA" w:rsidRDefault="00000000">
      <w:pPr>
        <w:spacing w:after="120"/>
      </w:pPr>
      <w:r>
        <w:rPr>
          <w:color w:val="000000"/>
          <w:sz w:val="21"/>
        </w:rPr>
        <w:t>24 source groups plus one synthetic import; 430 catch taxa.</w:t>
      </w:r>
    </w:p>
    <w:p w14:paraId="6173DF1E" w14:textId="77777777" w:rsidR="005C72CA" w:rsidRDefault="00000000">
      <w:pPr>
        <w:spacing w:after="120"/>
      </w:pPr>
      <w:r>
        <w:rPr>
          <w:color w:val="000000"/>
          <w:sz w:val="21"/>
        </w:rPr>
        <w:t>Simple-chain PPR totals 514,724,666.461 t C in 2019.</w:t>
      </w:r>
    </w:p>
    <w:p w14:paraId="3543597E" w14:textId="77777777" w:rsidR="005C72CA" w:rsidRDefault="00000000">
      <w:pPr>
        <w:spacing w:after="120"/>
      </w:pPr>
      <w:r>
        <w:rPr>
          <w:color w:val="000000"/>
          <w:sz w:val="21"/>
        </w:rPr>
        <w:t>37 taxa lack a saved TL/coefficient. All have zero 2019 landings and contribute zero annual PPR; no positive-catch contribution is unknown.</w:t>
      </w:r>
    </w:p>
    <w:p w14:paraId="73CCF735" w14:textId="77777777" w:rsidR="005C72CA" w:rsidRDefault="00000000">
      <w:pPr>
        <w:spacing w:after="120"/>
      </w:pPr>
      <w:r>
        <w:rPr>
          <w:color w:val="000000"/>
          <w:sz w:val="21"/>
        </w:rPr>
        <w:t>Simple-chain PPR uses the independent simple trophic chain method.</w:t>
      </w:r>
    </w:p>
    <w:p w14:paraId="1934B48D" w14:textId="77777777" w:rsidR="005C72CA" w:rsidRDefault="00000000">
      <w:pPr>
        <w:spacing w:after="120"/>
      </w:pPr>
      <w:hyperlink r:id="rId18">
        <w:r>
          <w:rPr>
            <w:rStyle w:val="Hyperlink"/>
          </w:rPr>
          <w:t>Excel taxon appendix and descriptive Sources sheet</w:t>
        </w:r>
      </w:hyperlink>
    </w:p>
    <w:tbl>
      <w:tblPr>
        <w:tblW w:w="0" w:type="auto"/>
        <w:tblLayout w:type="fixed"/>
        <w:tblLook w:val="04A0" w:firstRow="1" w:lastRow="0" w:firstColumn="1" w:lastColumn="0" w:noHBand="0" w:noVBand="1"/>
      </w:tblPr>
      <w:tblGrid>
        <w:gridCol w:w="3888"/>
        <w:gridCol w:w="1440"/>
        <w:gridCol w:w="2304"/>
        <w:gridCol w:w="2376"/>
      </w:tblGrid>
      <w:tr w:rsidR="005C72CA" w14:paraId="60137A88" w14:textId="77777777">
        <w:trPr>
          <w:cantSplit/>
          <w:tblHeader/>
        </w:trPr>
        <w:tc>
          <w:tcPr>
            <w:tcW w:w="3888"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15FF4849" w14:textId="77777777" w:rsidR="005C72CA" w:rsidRDefault="00000000">
            <w:pPr>
              <w:keepNext/>
              <w:spacing w:before="40" w:after="40"/>
            </w:pPr>
            <w:r>
              <w:rPr>
                <w:b/>
                <w:color w:val="000000"/>
                <w:sz w:val="20"/>
              </w:rPr>
              <w:t>Overall confidence</w:t>
            </w:r>
          </w:p>
        </w:tc>
        <w:tc>
          <w:tcPr>
            <w:tcW w:w="1440"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7D84E1CC" w14:textId="77777777" w:rsidR="005C72CA" w:rsidRDefault="00000000">
            <w:pPr>
              <w:keepNext/>
              <w:spacing w:before="40" w:after="40"/>
              <w:jc w:val="center"/>
            </w:pPr>
            <w:r>
              <w:rPr>
                <w:b/>
                <w:color w:val="000000"/>
                <w:sz w:val="20"/>
              </w:rPr>
              <w:t>Taxa</w:t>
            </w:r>
          </w:p>
        </w:tc>
        <w:tc>
          <w:tcPr>
            <w:tcW w:w="230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DD741AC" w14:textId="77777777" w:rsidR="005C72CA" w:rsidRDefault="00000000">
            <w:pPr>
              <w:keepNext/>
              <w:spacing w:before="40" w:after="40"/>
              <w:jc w:val="center"/>
            </w:pPr>
            <w:r>
              <w:rPr>
                <w:b/>
                <w:color w:val="000000"/>
                <w:sz w:val="20"/>
              </w:rPr>
              <w:t>Catch percentage</w:t>
            </w:r>
          </w:p>
        </w:tc>
        <w:tc>
          <w:tcPr>
            <w:tcW w:w="2376"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75FF5958" w14:textId="77777777" w:rsidR="005C72CA" w:rsidRDefault="00000000">
            <w:pPr>
              <w:keepNext/>
              <w:spacing w:before="40" w:after="40"/>
              <w:jc w:val="center"/>
            </w:pPr>
            <w:r>
              <w:rPr>
                <w:b/>
                <w:color w:val="000000"/>
                <w:sz w:val="20"/>
              </w:rPr>
              <w:t>PPR percentage</w:t>
            </w:r>
          </w:p>
        </w:tc>
      </w:tr>
      <w:tr w:rsidR="005C72CA" w14:paraId="330A4965"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6508D18" w14:textId="77777777" w:rsidR="005C72CA" w:rsidRDefault="00000000">
            <w:pPr>
              <w:spacing w:before="40" w:after="40"/>
            </w:pPr>
            <w:r>
              <w:rPr>
                <w:color w:val="000000"/>
                <w:sz w:val="20"/>
              </w:rPr>
              <w:t>High</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B41BBD1" w14:textId="77777777" w:rsidR="005C72CA" w:rsidRDefault="00000000">
            <w:pPr>
              <w:spacing w:before="40" w:after="40"/>
              <w:jc w:val="center"/>
            </w:pPr>
            <w:r>
              <w:rPr>
                <w:color w:val="000000"/>
                <w:sz w:val="20"/>
              </w:rPr>
              <w:t>145</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3CF228E" w14:textId="77777777" w:rsidR="005C72CA" w:rsidRDefault="00000000">
            <w:pPr>
              <w:spacing w:before="40" w:after="40"/>
              <w:jc w:val="center"/>
            </w:pPr>
            <w:r>
              <w:rPr>
                <w:color w:val="000000"/>
                <w:sz w:val="20"/>
              </w:rPr>
              <w:t>34.2506%</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C6D956D" w14:textId="77777777" w:rsidR="005C72CA" w:rsidRDefault="00000000">
            <w:pPr>
              <w:spacing w:before="40" w:after="40"/>
              <w:jc w:val="center"/>
            </w:pPr>
            <w:r>
              <w:rPr>
                <w:color w:val="000000"/>
                <w:sz w:val="20"/>
              </w:rPr>
              <w:t>27.8791%</w:t>
            </w:r>
          </w:p>
        </w:tc>
      </w:tr>
      <w:tr w:rsidR="005C72CA" w14:paraId="378E1B7D"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2CAE7684" w14:textId="77777777" w:rsidR="005C72CA" w:rsidRDefault="00000000">
            <w:pPr>
              <w:spacing w:before="40" w:after="40"/>
            </w:pPr>
            <w:r>
              <w:rPr>
                <w:color w:val="000000"/>
                <w:sz w:val="20"/>
              </w:rPr>
              <w:t>Medium</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3C058317" w14:textId="77777777" w:rsidR="005C72CA" w:rsidRDefault="00000000">
            <w:pPr>
              <w:spacing w:before="40" w:after="40"/>
              <w:jc w:val="center"/>
            </w:pPr>
            <w:r>
              <w:rPr>
                <w:color w:val="000000"/>
                <w:sz w:val="20"/>
              </w:rPr>
              <w:t>205</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3A82DABA" w14:textId="77777777" w:rsidR="005C72CA" w:rsidRDefault="00000000">
            <w:pPr>
              <w:spacing w:before="40" w:after="40"/>
              <w:jc w:val="center"/>
            </w:pPr>
            <w:r>
              <w:rPr>
                <w:color w:val="000000"/>
                <w:sz w:val="20"/>
              </w:rPr>
              <w:t>48.5275%</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490DF573" w14:textId="77777777" w:rsidR="005C72CA" w:rsidRDefault="00000000">
            <w:pPr>
              <w:spacing w:before="40" w:after="40"/>
              <w:jc w:val="center"/>
            </w:pPr>
            <w:r>
              <w:rPr>
                <w:color w:val="000000"/>
                <w:sz w:val="20"/>
              </w:rPr>
              <w:t>64.2253%</w:t>
            </w:r>
          </w:p>
        </w:tc>
      </w:tr>
      <w:tr w:rsidR="005C72CA" w14:paraId="03DDEA33"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1C154AA" w14:textId="77777777" w:rsidR="005C72CA" w:rsidRDefault="00000000">
            <w:pPr>
              <w:spacing w:before="40" w:after="40"/>
            </w:pPr>
            <w:r>
              <w:rPr>
                <w:color w:val="000000"/>
                <w:sz w:val="20"/>
              </w:rPr>
              <w:t>Low</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0D9D7D2" w14:textId="77777777" w:rsidR="005C72CA" w:rsidRDefault="00000000">
            <w:pPr>
              <w:spacing w:before="40" w:after="40"/>
              <w:jc w:val="center"/>
            </w:pPr>
            <w:r>
              <w:rPr>
                <w:color w:val="000000"/>
                <w:sz w:val="20"/>
              </w:rPr>
              <w:t>40</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03979DD" w14:textId="77777777" w:rsidR="005C72CA" w:rsidRDefault="00000000">
            <w:pPr>
              <w:spacing w:before="40" w:after="40"/>
              <w:jc w:val="center"/>
            </w:pPr>
            <w:r>
              <w:rPr>
                <w:color w:val="000000"/>
                <w:sz w:val="20"/>
              </w:rPr>
              <w:t>4.0707%</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80506AD" w14:textId="77777777" w:rsidR="005C72CA" w:rsidRDefault="00000000">
            <w:pPr>
              <w:spacing w:before="40" w:after="40"/>
              <w:jc w:val="center"/>
            </w:pPr>
            <w:r>
              <w:rPr>
                <w:color w:val="000000"/>
                <w:sz w:val="20"/>
              </w:rPr>
              <w:t>4.5692%</w:t>
            </w:r>
          </w:p>
        </w:tc>
      </w:tr>
      <w:tr w:rsidR="005C72CA" w14:paraId="47856EE0"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736E67B6" w14:textId="77777777" w:rsidR="005C72CA" w:rsidRDefault="00000000">
            <w:pPr>
              <w:spacing w:before="40" w:after="40"/>
            </w:pPr>
            <w:r>
              <w:rPr>
                <w:color w:val="000000"/>
                <w:sz w:val="20"/>
              </w:rPr>
              <w:t>Very low</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6D8DB25E" w14:textId="77777777" w:rsidR="005C72CA" w:rsidRDefault="00000000">
            <w:pPr>
              <w:spacing w:before="40" w:after="40"/>
              <w:jc w:val="center"/>
            </w:pPr>
            <w:r>
              <w:rPr>
                <w:color w:val="000000"/>
                <w:sz w:val="20"/>
              </w:rPr>
              <w:t>40</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7000A6B9" w14:textId="77777777" w:rsidR="005C72CA" w:rsidRDefault="00000000">
            <w:pPr>
              <w:spacing w:before="40" w:after="40"/>
              <w:jc w:val="center"/>
            </w:pPr>
            <w:r>
              <w:rPr>
                <w:color w:val="000000"/>
                <w:sz w:val="20"/>
              </w:rPr>
              <w:t>13.1512%</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6408FAAB" w14:textId="77777777" w:rsidR="005C72CA" w:rsidRDefault="00000000">
            <w:pPr>
              <w:spacing w:before="40" w:after="40"/>
              <w:jc w:val="center"/>
            </w:pPr>
            <w:r>
              <w:rPr>
                <w:color w:val="000000"/>
                <w:sz w:val="20"/>
              </w:rPr>
              <w:t>3.3265%</w:t>
            </w:r>
          </w:p>
        </w:tc>
      </w:tr>
      <w:tr w:rsidR="005C72CA" w14:paraId="58E5BA26"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4FB71C5" w14:textId="77777777" w:rsidR="005C72CA" w:rsidRDefault="00000000">
            <w:pPr>
              <w:spacing w:before="40" w:after="40"/>
            </w:pPr>
            <w:r>
              <w:rPr>
                <w:color w:val="000000"/>
                <w:sz w:val="20"/>
              </w:rPr>
              <w:t>Unresolved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D489013" w14:textId="77777777" w:rsidR="005C72CA" w:rsidRDefault="00000000">
            <w:pPr>
              <w:spacing w:before="40" w:after="40"/>
              <w:jc w:val="center"/>
            </w:pPr>
            <w:r>
              <w:rPr>
                <w:color w:val="000000"/>
                <w:sz w:val="20"/>
              </w:rPr>
              <w:t>0</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3CBE5E6" w14:textId="77777777" w:rsidR="005C72CA" w:rsidRDefault="00000000">
            <w:pPr>
              <w:spacing w:before="40" w:after="40"/>
              <w:jc w:val="center"/>
            </w:pPr>
            <w:r>
              <w:rPr>
                <w:color w:val="000000"/>
                <w:sz w:val="20"/>
              </w:rPr>
              <w:t>0.0000%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03F567C" w14:textId="77777777" w:rsidR="005C72CA" w:rsidRDefault="00000000">
            <w:pPr>
              <w:spacing w:before="40" w:after="40"/>
              <w:jc w:val="center"/>
            </w:pPr>
            <w:r>
              <w:rPr>
                <w:color w:val="000000"/>
                <w:sz w:val="20"/>
              </w:rPr>
              <w:t>0.0000%</w:t>
            </w:r>
          </w:p>
        </w:tc>
      </w:tr>
    </w:tbl>
    <w:p w14:paraId="00231B40" w14:textId="77777777" w:rsidR="005C72CA" w:rsidRDefault="00000000">
      <w:pPr>
        <w:spacing w:after="120"/>
      </w:pPr>
      <w:r>
        <w:rPr>
          <w:color w:val="000000"/>
          <w:sz w:val="21"/>
        </w:rPr>
        <w:t>Overall confidence uses the weaker required membership or allocation component.</w:t>
      </w:r>
    </w:p>
    <w:p w14:paraId="5DD918C0" w14:textId="77777777" w:rsidR="005C72CA" w:rsidRDefault="00000000">
      <w:pPr>
        <w:keepNext/>
        <w:spacing w:after="120"/>
      </w:pPr>
      <w:r>
        <w:rPr>
          <w:b/>
          <w:color w:val="000000"/>
          <w:sz w:val="23"/>
        </w:rPr>
        <w:t>Group assignment rules</w:t>
      </w:r>
    </w:p>
    <w:tbl>
      <w:tblPr>
        <w:tblW w:w="0" w:type="auto"/>
        <w:tblLayout w:type="fixed"/>
        <w:tblLook w:val="04A0" w:firstRow="1" w:lastRow="0" w:firstColumn="1" w:lastColumn="0" w:noHBand="0" w:noVBand="1"/>
      </w:tblPr>
      <w:tblGrid>
        <w:gridCol w:w="6624"/>
        <w:gridCol w:w="1512"/>
        <w:gridCol w:w="1872"/>
      </w:tblGrid>
      <w:tr w:rsidR="005C72CA" w14:paraId="7AD0A0C2"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C9767EC" w14:textId="77777777" w:rsidR="005C72CA" w:rsidRDefault="00000000">
            <w:pPr>
              <w:keepNext/>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077ABFB9" w14:textId="77777777" w:rsidR="005C72CA" w:rsidRDefault="00000000">
            <w:pPr>
              <w:keepNext/>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0B19E0C5" w14:textId="77777777" w:rsidR="005C72CA" w:rsidRDefault="00000000">
            <w:pPr>
              <w:keepNext/>
              <w:spacing w:before="40" w:after="40"/>
              <w:jc w:val="center"/>
            </w:pPr>
            <w:r>
              <w:rPr>
                <w:b/>
                <w:color w:val="000000"/>
                <w:sz w:val="20"/>
              </w:rPr>
              <w:t>PPR percentage</w:t>
            </w:r>
          </w:p>
        </w:tc>
      </w:tr>
      <w:tr w:rsidR="005C72CA" w14:paraId="1A11BE94"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0B41F59" w14:textId="77777777" w:rsidR="005C72CA" w:rsidRDefault="00000000">
            <w:pPr>
              <w:spacing w:before="40" w:after="40"/>
            </w:pPr>
            <w:r>
              <w:rPr>
                <w:color w:val="000000"/>
                <w:sz w:val="20"/>
              </w:rPr>
              <w:t>Taxonomic extension from named source representatives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9237054" w14:textId="77777777" w:rsidR="005C72CA"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F98F592" w14:textId="77777777" w:rsidR="005C72CA" w:rsidRDefault="00000000">
            <w:pPr>
              <w:spacing w:before="40" w:after="40"/>
              <w:jc w:val="center"/>
            </w:pPr>
            <w:r>
              <w:rPr>
                <w:color w:val="000000"/>
                <w:sz w:val="20"/>
              </w:rPr>
              <w:t>51.2386%</w:t>
            </w:r>
          </w:p>
        </w:tc>
      </w:tr>
      <w:tr w:rsidR="005C72CA" w14:paraId="7EA481AB"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5C8F3C1" w14:textId="77777777" w:rsidR="005C72CA" w:rsidRDefault="00000000">
            <w:pPr>
              <w:spacing w:before="40" w:after="40"/>
            </w:pPr>
            <w:r>
              <w:rPr>
                <w:color w:val="000000"/>
                <w:sz w:val="20"/>
              </w:rPr>
              <w:t>Explicit source member or member of a source-listed genus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93C1198" w14:textId="77777777" w:rsidR="005C72CA"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07BF64C" w14:textId="77777777" w:rsidR="005C72CA" w:rsidRDefault="00000000">
            <w:pPr>
              <w:spacing w:before="40" w:after="40"/>
              <w:jc w:val="center"/>
            </w:pPr>
            <w:r>
              <w:rPr>
                <w:color w:val="000000"/>
                <w:sz w:val="20"/>
              </w:rPr>
              <w:t>20.7837%</w:t>
            </w:r>
          </w:p>
        </w:tc>
      </w:tr>
      <w:tr w:rsidR="005C72CA" w14:paraId="238DE96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80F88F1" w14:textId="77777777" w:rsidR="005C72CA" w:rsidRDefault="00000000">
            <w:pPr>
              <w:spacing w:before="40" w:after="40"/>
            </w:pPr>
            <w:r>
              <w:rPr>
                <w:color w:val="000000"/>
                <w:sz w:val="20"/>
              </w:rPr>
              <w:t>Broad label interpreted through its recorded fishery classification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70536ED" w14:textId="77777777" w:rsidR="005C72CA"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E1916D5" w14:textId="77777777" w:rsidR="005C72CA" w:rsidRDefault="00000000">
            <w:pPr>
              <w:spacing w:before="40" w:after="40"/>
              <w:jc w:val="center"/>
            </w:pPr>
            <w:r>
              <w:rPr>
                <w:color w:val="000000"/>
                <w:sz w:val="20"/>
              </w:rPr>
              <w:t>7.4699%</w:t>
            </w:r>
          </w:p>
        </w:tc>
      </w:tr>
      <w:tr w:rsidR="005C72CA" w14:paraId="2B5595C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6410B23" w14:textId="77777777" w:rsidR="005C72CA" w:rsidRDefault="00000000">
            <w:pPr>
              <w:spacing w:before="40" w:after="40"/>
            </w:pPr>
            <w:r>
              <w:rPr>
                <w:color w:val="000000"/>
                <w:sz w:val="20"/>
              </w:rPr>
              <w:t>Complete fit to an explicitly defined generic compartment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854FFF3" w14:textId="77777777" w:rsidR="005C72CA"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FEBFCFF" w14:textId="77777777" w:rsidR="005C72CA" w:rsidRDefault="00000000">
            <w:pPr>
              <w:spacing w:before="40" w:after="40"/>
              <w:jc w:val="center"/>
            </w:pPr>
            <w:r>
              <w:rPr>
                <w:color w:val="000000"/>
                <w:sz w:val="20"/>
              </w:rPr>
              <w:t>7.0191%</w:t>
            </w:r>
          </w:p>
        </w:tc>
      </w:tr>
      <w:tr w:rsidR="005C72CA" w14:paraId="61834475"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D60F181" w14:textId="77777777" w:rsidR="005C72CA" w:rsidRDefault="00000000">
            <w:pPr>
              <w:spacing w:before="40" w:after="40"/>
            </w:pPr>
            <w:r>
              <w:rPr>
                <w:color w:val="000000"/>
                <w:sz w:val="20"/>
              </w:rPr>
              <w:t>Supported habitat and feeding-guild extension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B1DAA64" w14:textId="77777777" w:rsidR="005C72CA"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C1EB7F0" w14:textId="77777777" w:rsidR="005C72CA" w:rsidRDefault="00000000">
            <w:pPr>
              <w:spacing w:before="40" w:after="40"/>
              <w:jc w:val="center"/>
            </w:pPr>
            <w:r>
              <w:rPr>
                <w:color w:val="000000"/>
                <w:sz w:val="20"/>
              </w:rPr>
              <w:t>5.8126%</w:t>
            </w:r>
          </w:p>
        </w:tc>
      </w:tr>
      <w:tr w:rsidR="005C72CA" w14:paraId="1F073925"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3E62748" w14:textId="77777777" w:rsidR="005C72CA" w:rsidRDefault="00000000">
            <w:pPr>
              <w:spacing w:before="40" w:after="40"/>
            </w:pPr>
            <w:r>
              <w:rPr>
                <w:color w:val="000000"/>
                <w:sz w:val="20"/>
              </w:rPr>
              <w:t>Partial or conflicting habitat and feeding-guild fit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F7DA26A" w14:textId="77777777" w:rsidR="005C72CA" w:rsidRDefault="00000000">
            <w:pPr>
              <w:spacing w:before="40" w:after="40"/>
              <w:jc w:val="center"/>
            </w:pPr>
            <w:r>
              <w:rPr>
                <w:color w:val="000000"/>
                <w:sz w:val="20"/>
              </w:rPr>
              <w:t>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1CC8B43" w14:textId="77777777" w:rsidR="005C72CA" w:rsidRDefault="00000000">
            <w:pPr>
              <w:spacing w:before="40" w:after="40"/>
              <w:jc w:val="center"/>
            </w:pPr>
            <w:r>
              <w:rPr>
                <w:color w:val="000000"/>
                <w:sz w:val="20"/>
              </w:rPr>
              <w:t>4.2734%</w:t>
            </w:r>
          </w:p>
        </w:tc>
      </w:tr>
      <w:tr w:rsidR="005C72CA" w14:paraId="72FFAF8C"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32815EF" w14:textId="77777777" w:rsidR="005C72CA" w:rsidRDefault="00000000">
            <w:pPr>
              <w:spacing w:before="40" w:after="40"/>
            </w:pPr>
            <w:r>
              <w:rPr>
                <w:color w:val="000000"/>
                <w:sz w:val="20"/>
              </w:rPr>
              <w:t>Explicit coarse-category approximation to compatible compartments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3DE6C55" w14:textId="77777777" w:rsidR="005C72CA" w:rsidRDefault="00000000">
            <w:pPr>
              <w:spacing w:before="40" w:after="40"/>
              <w:jc w:val="center"/>
            </w:pPr>
            <w:r>
              <w:rPr>
                <w:color w:val="000000"/>
                <w:sz w:val="20"/>
              </w:rP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6EED21E" w14:textId="77777777" w:rsidR="005C72CA" w:rsidRDefault="00000000">
            <w:pPr>
              <w:spacing w:before="40" w:after="40"/>
              <w:jc w:val="center"/>
            </w:pPr>
            <w:r>
              <w:rPr>
                <w:color w:val="000000"/>
                <w:sz w:val="20"/>
              </w:rPr>
              <w:t>3.1959%</w:t>
            </w:r>
          </w:p>
        </w:tc>
      </w:tr>
      <w:tr w:rsidR="005C72CA" w14:paraId="27587BFD"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5FE8837" w14:textId="77777777" w:rsidR="005C72CA" w:rsidRDefault="00000000">
            <w:pPr>
              <w:spacing w:before="40" w:after="40"/>
            </w:pPr>
            <w:r>
              <w:rPr>
                <w:color w:val="000000"/>
                <w:sz w:val="20"/>
              </w:rPr>
              <w:t>Closest available ecological analogue with a material mismatch</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0BC97A6" w14:textId="77777777" w:rsidR="005C72CA" w:rsidRDefault="00000000">
            <w:pPr>
              <w:spacing w:before="40" w:after="40"/>
              <w:jc w:val="center"/>
            </w:pPr>
            <w:r>
              <w:rPr>
                <w:color w:val="000000"/>
                <w:sz w:val="20"/>
              </w:rP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E1283D5" w14:textId="77777777" w:rsidR="005C72CA" w:rsidRDefault="00000000">
            <w:pPr>
              <w:spacing w:before="40" w:after="40"/>
              <w:jc w:val="center"/>
            </w:pPr>
            <w:r>
              <w:rPr>
                <w:color w:val="000000"/>
                <w:sz w:val="20"/>
              </w:rPr>
              <w:t>0.1306%</w:t>
            </w:r>
          </w:p>
        </w:tc>
      </w:tr>
      <w:tr w:rsidR="005C72CA" w14:paraId="2D432513"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8996B43" w14:textId="77777777" w:rsidR="005C72CA" w:rsidRDefault="00000000">
            <w:pPr>
              <w:spacing w:before="40" w:after="40"/>
            </w:pPr>
            <w:r>
              <w:rPr>
                <w:color w:val="000000"/>
                <w:sz w:val="20"/>
              </w:rPr>
              <w:t>Accepted-name synonym of an explicit source member</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0B48E5C" w14:textId="77777777" w:rsidR="005C72CA"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9C6088F" w14:textId="77777777" w:rsidR="005C72CA" w:rsidRDefault="00000000">
            <w:pPr>
              <w:spacing w:before="40" w:after="40"/>
              <w:jc w:val="center"/>
            </w:pPr>
            <w:r>
              <w:rPr>
                <w:color w:val="000000"/>
                <w:sz w:val="20"/>
              </w:rPr>
              <w:t>0.0763%</w:t>
            </w:r>
          </w:p>
        </w:tc>
      </w:tr>
    </w:tbl>
    <w:p w14:paraId="03F2280E" w14:textId="77777777" w:rsidR="005C72CA" w:rsidRDefault="00000000">
      <w:pPr>
        <w:spacing w:after="120"/>
      </w:pPr>
      <w:r>
        <w:rPr>
          <w:color w:val="000000"/>
          <w:sz w:val="21"/>
        </w:rPr>
        <w:t>Membership evidence: Bulletin 51 membership table and group accounts, accepted-name taxonomy, provider reporting meaning and cited ecological sources.</w:t>
      </w:r>
    </w:p>
    <w:p w14:paraId="7BF74A41" w14:textId="77777777" w:rsidR="005C72CA" w:rsidRDefault="00000000">
      <w:pPr>
        <w:keepNext/>
        <w:pageBreakBefore/>
        <w:spacing w:after="120"/>
      </w:pPr>
      <w:r>
        <w:rPr>
          <w:b/>
          <w:color w:val="000000"/>
          <w:sz w:val="23"/>
        </w:rPr>
        <w:lastRenderedPageBreak/>
        <w:t>Allocation weight rules</w:t>
      </w:r>
    </w:p>
    <w:tbl>
      <w:tblPr>
        <w:tblW w:w="0" w:type="auto"/>
        <w:tblLayout w:type="fixed"/>
        <w:tblLook w:val="04A0" w:firstRow="1" w:lastRow="0" w:firstColumn="1" w:lastColumn="0" w:noHBand="0" w:noVBand="1"/>
      </w:tblPr>
      <w:tblGrid>
        <w:gridCol w:w="6624"/>
        <w:gridCol w:w="1512"/>
        <w:gridCol w:w="1872"/>
      </w:tblGrid>
      <w:tr w:rsidR="005C72CA" w14:paraId="484C39DC"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8E8ABC4" w14:textId="77777777" w:rsidR="005C72CA" w:rsidRDefault="00000000">
            <w:pPr>
              <w:keepNext/>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71126214" w14:textId="77777777" w:rsidR="005C72CA" w:rsidRDefault="00000000">
            <w:pPr>
              <w:keepNext/>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9499E56" w14:textId="77777777" w:rsidR="005C72CA" w:rsidRDefault="00000000">
            <w:pPr>
              <w:keepNext/>
              <w:spacing w:before="40" w:after="40"/>
              <w:jc w:val="center"/>
            </w:pPr>
            <w:r>
              <w:rPr>
                <w:b/>
                <w:color w:val="000000"/>
                <w:sz w:val="20"/>
              </w:rPr>
              <w:t>PPR percentage</w:t>
            </w:r>
          </w:p>
        </w:tc>
      </w:tr>
      <w:tr w:rsidR="005C72CA" w14:paraId="0CBA2605"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F5486FD" w14:textId="77777777" w:rsidR="005C72CA" w:rsidRDefault="00000000">
            <w:pPr>
              <w:spacing w:before="40" w:after="40"/>
            </w:pPr>
            <w:r>
              <w:rPr>
                <w:color w:val="000000"/>
                <w:sz w:val="20"/>
              </w:rPr>
              <w:t>One supported compartment receives the entire taxon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8CB581F" w14:textId="77777777" w:rsidR="005C72CA" w:rsidRDefault="00000000">
            <w:pPr>
              <w:spacing w:before="40" w:after="40"/>
              <w:jc w:val="center"/>
            </w:pPr>
            <w:r>
              <w:rPr>
                <w:color w:val="000000"/>
                <w:sz w:val="20"/>
              </w:rP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C0090A8" w14:textId="77777777" w:rsidR="005C72CA" w:rsidRDefault="00000000">
            <w:pPr>
              <w:spacing w:before="40" w:after="40"/>
              <w:jc w:val="center"/>
            </w:pPr>
            <w:r>
              <w:rPr>
                <w:color w:val="000000"/>
                <w:sz w:val="20"/>
              </w:rPr>
              <w:t>89.3358%</w:t>
            </w:r>
          </w:p>
        </w:tc>
      </w:tr>
      <w:tr w:rsidR="005C72CA" w14:paraId="4F246F2C"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C514F01" w14:textId="77777777" w:rsidR="005C72CA" w:rsidRDefault="00000000">
            <w:pPr>
              <w:spacing w:before="40" w:after="40"/>
            </w:pPr>
            <w:r>
              <w:rPr>
                <w:color w:val="000000"/>
                <w:sz w:val="20"/>
              </w:rPr>
              <w:t>Identified regional catch composition assumed for the coarse taxon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650B441" w14:textId="77777777" w:rsidR="005C72CA"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11FE1C0" w14:textId="77777777" w:rsidR="005C72CA" w:rsidRDefault="00000000">
            <w:pPr>
              <w:spacing w:before="40" w:after="40"/>
              <w:jc w:val="center"/>
            </w:pPr>
            <w:r>
              <w:rPr>
                <w:color w:val="000000"/>
                <w:sz w:val="20"/>
              </w:rPr>
              <w:t>6.1289%</w:t>
            </w:r>
          </w:p>
        </w:tc>
      </w:tr>
      <w:tr w:rsidR="005C72CA" w14:paraId="50754A7C"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3C9BE74" w14:textId="77777777" w:rsidR="005C72CA" w:rsidRDefault="00000000">
            <w:pPr>
              <w:spacing w:before="40" w:after="40"/>
            </w:pPr>
            <w:r>
              <w:rPr>
                <w:color w:val="000000"/>
                <w:sz w:val="20"/>
              </w:rPr>
              <w:t>Source-model landings proportions assumed for the catch category</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D9C4F51" w14:textId="77777777" w:rsidR="005C72CA" w:rsidRDefault="00000000">
            <w:pPr>
              <w:spacing w:before="40" w:after="40"/>
              <w:jc w:val="center"/>
            </w:pPr>
            <w:r>
              <w:rPr>
                <w:color w:val="000000"/>
                <w:sz w:val="20"/>
              </w:rP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09BB4D5" w14:textId="77777777" w:rsidR="005C72CA" w:rsidRDefault="00000000">
            <w:pPr>
              <w:spacing w:before="40" w:after="40"/>
              <w:jc w:val="center"/>
            </w:pPr>
            <w:r>
              <w:rPr>
                <w:color w:val="000000"/>
                <w:sz w:val="20"/>
              </w:rPr>
              <w:t>4.2395%</w:t>
            </w:r>
          </w:p>
        </w:tc>
      </w:tr>
      <w:tr w:rsidR="005C72CA" w14:paraId="7586053F"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EB76198" w14:textId="77777777" w:rsidR="005C72CA" w:rsidRDefault="00000000">
            <w:pPr>
              <w:spacing w:before="40" w:after="40"/>
            </w:pPr>
            <w:r>
              <w:rPr>
                <w:color w:val="000000"/>
                <w:sz w:val="20"/>
              </w:rPr>
              <w:t>Identified regional catch composition assumed for the coarse taxon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C27E94D" w14:textId="77777777" w:rsidR="005C72CA" w:rsidRDefault="00000000">
            <w:pPr>
              <w:spacing w:before="40" w:after="40"/>
              <w:jc w:val="center"/>
            </w:pPr>
            <w:r>
              <w:rPr>
                <w:color w:val="000000"/>
                <w:sz w:val="20"/>
              </w:rPr>
              <w:t>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22DE3B9" w14:textId="77777777" w:rsidR="005C72CA" w:rsidRDefault="00000000">
            <w:pPr>
              <w:spacing w:before="40" w:after="40"/>
              <w:jc w:val="center"/>
            </w:pPr>
            <w:r>
              <w:rPr>
                <w:color w:val="000000"/>
                <w:sz w:val="20"/>
              </w:rPr>
              <w:t>0.2958%</w:t>
            </w:r>
          </w:p>
        </w:tc>
      </w:tr>
    </w:tbl>
    <w:p w14:paraId="3184484F" w14:textId="77777777" w:rsidR="005C72CA" w:rsidRDefault="00000000">
      <w:pPr>
        <w:spacing w:after="120"/>
      </w:pPr>
      <w:r>
        <w:rPr>
          <w:color w:val="000000"/>
          <w:sz w:val="21"/>
        </w:rPr>
        <w:t>Weights and assumptions: seven identified-lineage catch mixtures are retained or reconstructed. Other splits use eligible source-group landings proportions at Medium allocation confidence, with zero candidates retained and transfer assumptions explicit. Siluriformes and Pleuronectiformes retain lineage splits at Low allocation confidence because reporting geography, gears or periods differ.</w:t>
      </w:r>
    </w:p>
    <w:p w14:paraId="3AD6D372" w14:textId="77777777" w:rsidR="005C72CA" w:rsidRDefault="00000000">
      <w:pPr>
        <w:spacing w:after="120"/>
      </w:pPr>
      <w:r>
        <w:rPr>
          <w:color w:val="000000"/>
          <w:sz w:val="21"/>
        </w:rPr>
        <w:t>Each percentage is the independent simple-chain PPR associated with taxa using that rule.</w:t>
      </w:r>
    </w:p>
    <w:p w14:paraId="5E7A8099" w14:textId="77777777" w:rsidR="005C72CA" w:rsidRDefault="00000000">
      <w:pPr>
        <w:spacing w:after="120"/>
      </w:pPr>
      <w:r>
        <w:rPr>
          <w:color w:val="000000"/>
          <w:sz w:val="21"/>
        </w:rPr>
        <w:t>Unresolved taxa: none. 40 Very low decisions cover 13.1512% of landings and 3.3265% of PPR. They comprise coarse fish/invertebrate mixtures, unrepresented herbivorous or specialised reef feeders, deep/oceanic analogues and Scomber. Exact taxa, weights and reasons are flagged in the linked appendix.</w:t>
      </w:r>
    </w:p>
    <w:p xmlns:w="http://schemas.openxmlformats.org/wordprocessingml/2006/main" xmlns:w14="http://schemas.microsoft.com/office/word/2010/wordml">
      <w:pPr>
        <w:keepNext/>
        <w:spacing w:after="120"/>
      </w:pPr>
      <w:r>
        <w:rPr>
          <w:b/>
          <w:color w:val="000000"/>
          <w:sz w:val="23"/>
        </w:rPr>
        <w:t>Very low decisions</w:t>
      </w:r>
    </w:p>
    <w:tbl xmlns:w="http://schemas.openxmlformats.org/wordprocessingml/2006/main" xmlns:w14="http://schemas.microsoft.com/office/word/2010/wordml">
      <w:tblPr>
        <w:tblW w:w="0" w:type="auto"/>
        <w:tblLayout w:type="fixed"/>
        <w:tblLook w:val="04A0" w:firstRow="1" w:lastRow="0" w:firstColumn="1" w:lastColumn="0" w:noHBand="0" w:noVBand="1"/>
      </w:tblPr>
      <w:tblGrid>
        <w:gridCol w:w="4608"/>
        <w:gridCol w:w="5400"/>
      </w:tblGrid>
      <w:tr>
        <w:trPr>
          <w:cantSplit/>
          <w:tblHeader/>
        </w:trPr>
        <w:tc>
          <w:tcPr>
            <w:tcW w:w="4608"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pPr>
              <w:spacing w:before="40" w:after="40"/>
            </w:pPr>
            <w:r>
              <w:rPr>
                <w:b/>
                <w:color w:val="000000"/>
                <w:sz w:val="20"/>
              </w:rPr>
              <w:t>Affected taxa</w:t>
            </w:r>
          </w:p>
        </w:tc>
        <w:tc>
          <w:tcPr>
            <w:tcW w:w="5400"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pPr>
              <w:spacing w:before="40" w:after="40"/>
              <w:jc w:val="center"/>
            </w:pPr>
            <w:r>
              <w:rPr>
                <w:b/>
                <w:color w:val="000000"/>
                <w:sz w:val="20"/>
              </w:rPr>
              <w:t>Why confidence is very low</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Marine fishes not identified; Perciformes; Marine pelagic fishes not identified; Marine groundfishes not identified</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Unknown fish composition is approximated by compatible harvested bony-fish guilds, water-column pools or benthic pools. A demersal tag does not establish unidentified-fish composition; the legacy Perciformes label is broader than four demersal pools. Whole source-group catch proportions are assumed transferable across regions, years and catch bases.</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Anguilliformes</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Adult eels and morays are approximated by demersal carnivore pools. Eel larvae in Micro Nekton do not represent adult fishery catch; size, diet and depth mixture remain uncertain. Published model catch proportions are an assumed allocation.</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Chondrichthyes</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Sharks and rays fit two source pools, but common metadata also includes chimaeras, absent from the model. The two elasmobranch pools provide an approximation rather than complete containment; model catch proportions supply an assumed split.</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Scombroidei</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The provider label includes tunas, bonitos and billfishes. Tunas plus Large Pelagics approximate those taxa; billfishes are ecological extensions, not source members. Published model catch proportions supply an assumed split.</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Gobiidae</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Unknown goby species and feeding composition are approximated by small benthic carnivory, omnivory and water-column feeding in three source pools. Reef and specialised feeding remain unmatched; model catch proportions supply an assumed split.</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Siganus canaliculatus; Siganidae; Siganus; Crenidens crenidens; Scaridae; Bolbometopon muricatum; Scarus persicus; Acanthurus dussumieri; Siganus sutor; Scarus ghobban; Acanthuridae</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Benthic Omnivores is the closest available bottom-feeding approximation. The model lacks a herbivorous reef-fish pool; specialised algal, seagrass or coral feeding differs materially from its sole and squilla diet.</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Pomacanthus maculosus; Platax orbicularis; Ephippidae; Platax; Chaetodontidae; Pomacentridae; Pomacanthidae</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Benthic Omnivores is the closest available reef or bottom-feeding approximation. Specialised coral and sponge feeding, or mixed reef plankton and algal feeding, is absent from the model; direct source membership is not established.</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Bramidae; Berycidae; Beryx; Brama brama; Gadiformes; Gempylidae; Lampris guttatus; Lepidocybium flavobrunneum; Ruvettus pretiosus</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Large Benthopelagics, represented by ribbonfish and carangids, is the closest available water-column predator approximation. Deep or oceanic feeding and habitat, or coarse gadiform composition, are poorly represented by this shelf model exploited to 200 m.</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Mollusca</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Common metadata includes clams, seasnails, squids and octopuses. Cephalopods and Heterotrophic Benthos form a coarse approximation under an adult-fishery-catch assumption; larval zooplankton is excluded. Model catch proportions supply an assumed split.</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Miscellaneous aquatic invertebrates</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Unidentified demersal invertebrates may span molluscs, crustaceans, epifauna and infauna. Compatible adult pools provide an explicit coarse approximation; fish-bearing pools and pelagic larvae are excluded. Model catch proportions supply an assumed split.</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Malacostraca</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Common metadata includes lobsters, crabs, shrimps and krill. Harvested decapods, squilla, epifaunal crustaceans and large zooplankton approximate this mixture; micro-zooplankton eggs and larvae are excluded under an adult-catch assumption. Model catch proportions supply an assumed split.</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Labridae</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Wrasses vary in size and include benthic invertebrate feeders and planktivores. Medium and small benthic feeders plus the small water-column pool provide an approximation; specialised cleaning and reef habitats remain unmatched. Model catch proportions supply an assumed split.</w:t>
            </w:r>
          </w:p>
        </w:tc>
      </w:tr>
      <w:tr>
        <w:trPr>
          <w:cantSplit/>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Scomber</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pPr>
              <w:spacing w:before="40" w:after="40"/>
            </w:pPr>
            <w:r>
              <w:rPr>
                <w:color w:val="000000"/>
                <w:sz w:val="20"/>
              </w:rPr>
              <w:t>The dedicated Rastrelliger kanagurta pool is the closest available mackerel analogue. Scomber is not listed among source members and can differ materially in feeding and habitat.</w:t>
            </w:r>
          </w:p>
        </w:tc>
      </w:tr>
    </w:tbl>
    <w:p w14:paraId="1CA452AA" w14:textId="77777777" w:rsidR="005C72CA" w:rsidRDefault="00000000">
      <w:pPr>
        <w:pStyle w:val="aa"/>
        <w:keepNext/>
        <w:pageBreakBefore/>
      </w:pPr>
      <w:r>
        <w:lastRenderedPageBreak/>
        <w:t>Geographic evidence</w:t>
      </w:r>
    </w:p>
    <w:p w14:paraId="6703F881" w14:textId="77777777" w:rsidR="005C72CA" w:rsidRDefault="00000000">
      <w:pPr>
        <w:spacing w:after="40" w:line="240" w:lineRule="auto"/>
      </w:pPr>
      <w:r>
        <w:rPr>
          <w:color w:val="000000"/>
          <w:sz w:val="21"/>
        </w:rPr>
        <w:t>Target region R and Karnataka study area S. Approximate overlap uses the published 27,000 km² footprint and target boundary; the study’s coordinate rectangle is not treated as its area.</w:t>
      </w:r>
    </w:p>
    <w:p w14:paraId="1E616846" w14:textId="77777777" w:rsidR="005C72CA" w:rsidRDefault="00000000">
      <w:pPr>
        <w:pStyle w:val="21"/>
      </w:pPr>
      <w:r>
        <w:t>Region area</w:t>
      </w:r>
    </w:p>
    <w:tbl>
      <w:tblPr>
        <w:tblW w:w="0" w:type="auto"/>
        <w:jc w:val="center"/>
        <w:tblLayout w:type="fixed"/>
        <w:tblLook w:val="04A0" w:firstRow="1" w:lastRow="0" w:firstColumn="1" w:lastColumn="0" w:noHBand="0" w:noVBand="1"/>
      </w:tblPr>
      <w:tblGrid>
        <w:gridCol w:w="10037"/>
      </w:tblGrid>
      <w:tr w:rsidR="005C72CA" w14:paraId="40ED4338"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19E9FF21" w14:textId="77777777" w:rsidR="005C72CA" w:rsidRDefault="00000000">
            <w:pPr>
              <w:keepNext/>
              <w:spacing w:after="40"/>
            </w:pPr>
            <w:r>
              <w:rPr>
                <w:b/>
                <w:sz w:val="21"/>
              </w:rPr>
              <w:t>Target region boundary</w:t>
            </w:r>
          </w:p>
        </w:tc>
      </w:tr>
      <w:tr w:rsidR="005C72CA" w14:paraId="3B2A58F6" w14:textId="77777777">
        <w:trPr>
          <w:cantSplit/>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93897F4" w14:textId="77777777" w:rsidR="005C72CA" w:rsidRDefault="00000000">
            <w:pPr>
              <w:spacing w:after="40" w:line="240" w:lineRule="auto"/>
            </w:pPr>
            <w:r>
              <w:rPr>
                <w:noProof/>
              </w:rPr>
              <w:drawing>
                <wp:inline distT="0" distB="0" distL="0" distR="0" wp14:anchorId="195CA238" wp14:editId="11C7F56B">
                  <wp:extent cx="5806440" cy="40604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_boundary.png"/>
                          <pic:cNvPicPr/>
                        </pic:nvPicPr>
                        <pic:blipFill>
                          <a:blip r:embed="rId19"/>
                          <a:stretch>
                            <a:fillRect/>
                          </a:stretch>
                        </pic:blipFill>
                        <pic:spPr>
                          <a:xfrm>
                            <a:off x="0" y="0"/>
                            <a:ext cx="5806440" cy="4060476"/>
                          </a:xfrm>
                          <a:prstGeom prst="rect">
                            <a:avLst/>
                          </a:prstGeom>
                        </pic:spPr>
                      </pic:pic>
                    </a:graphicData>
                  </a:graphic>
                </wp:inline>
              </w:drawing>
            </w:r>
          </w:p>
        </w:tc>
      </w:tr>
    </w:tbl>
    <w:p w14:paraId="62A3AFBB" w14:textId="77777777" w:rsidR="005C72CA" w:rsidRDefault="00000000">
      <w:pPr>
        <w:spacing w:after="40" w:line="240" w:lineRule="auto"/>
      </w:pPr>
      <w:r>
        <w:rPr>
          <w:color w:val="000000"/>
          <w:sz w:val="20"/>
        </w:rPr>
        <w:t>Arabian Sea LME_032. Sea Around Us boundary; WGS 84 geodesic area approximately 3.93 million km². Orange line locates the Karnataka coast near the study; it is not a digitized study polygon.</w:t>
      </w:r>
      <w:r>
        <w:t xml:space="preserve"> | </w:t>
      </w:r>
      <w:hyperlink r:id="rId20">
        <w:r>
          <w:rPr>
            <w:rStyle w:val="Hyperlink"/>
          </w:rPr>
          <w:t>Boundary source</w:t>
        </w:r>
      </w:hyperlink>
      <w:r>
        <w:t xml:space="preserve"> | </w:t>
      </w:r>
      <w:hyperlink r:id="rId21">
        <w:r>
          <w:rPr>
            <w:rStyle w:val="Hyperlink"/>
          </w:rPr>
          <w:t>Overlap evidence</w:t>
        </w:r>
      </w:hyperlink>
    </w:p>
    <w:p w14:paraId="3C997505" w14:textId="77777777" w:rsidR="005C72CA" w:rsidRDefault="00000000">
      <w:pPr>
        <w:pStyle w:val="21"/>
        <w:pageBreakBefore/>
      </w:pPr>
      <w:r>
        <w:lastRenderedPageBreak/>
        <w:t>Study area in the article</w:t>
      </w:r>
    </w:p>
    <w:tbl>
      <w:tblPr>
        <w:tblW w:w="0" w:type="auto"/>
        <w:jc w:val="center"/>
        <w:tblLayout w:type="fixed"/>
        <w:tblLook w:val="04A0" w:firstRow="1" w:lastRow="0" w:firstColumn="1" w:lastColumn="0" w:noHBand="0" w:noVBand="1"/>
      </w:tblPr>
      <w:tblGrid>
        <w:gridCol w:w="10037"/>
      </w:tblGrid>
      <w:tr w:rsidR="005C72CA" w14:paraId="2006410F"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62B23B8" w14:textId="77777777" w:rsidR="005C72CA" w:rsidRDefault="00000000">
            <w:pPr>
              <w:keepNext/>
              <w:spacing w:after="40"/>
            </w:pPr>
            <w:r>
              <w:rPr>
                <w:b/>
                <w:sz w:val="21"/>
              </w:rPr>
              <w:t>Study boundary for the selected model</w:t>
            </w:r>
          </w:p>
        </w:tc>
      </w:tr>
      <w:tr w:rsidR="005C72CA" w14:paraId="6961E96A" w14:textId="77777777">
        <w:trPr>
          <w:cantSplit/>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AFA8F8D" w14:textId="77777777" w:rsidR="005C72CA" w:rsidRDefault="00000000">
            <w:pPr>
              <w:spacing w:after="40" w:line="240" w:lineRule="auto"/>
            </w:pPr>
            <w:r>
              <w:rPr>
                <w:noProof/>
              </w:rPr>
              <w:drawing>
                <wp:inline distT="0" distB="0" distL="0" distR="0" wp14:anchorId="3F1ED0C1" wp14:editId="1C3B4F83">
                  <wp:extent cx="4389120" cy="48448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study_area.png"/>
                          <pic:cNvPicPr/>
                        </pic:nvPicPr>
                        <pic:blipFill>
                          <a:blip r:embed="rId22"/>
                          <a:stretch>
                            <a:fillRect/>
                          </a:stretch>
                        </pic:blipFill>
                        <pic:spPr>
                          <a:xfrm>
                            <a:off x="0" y="0"/>
                            <a:ext cx="4389120" cy="4844821"/>
                          </a:xfrm>
                          <a:prstGeom prst="rect">
                            <a:avLst/>
                          </a:prstGeom>
                        </pic:spPr>
                      </pic:pic>
                    </a:graphicData>
                  </a:graphic>
                </wp:inline>
              </w:drawing>
            </w:r>
          </w:p>
        </w:tc>
      </w:tr>
    </w:tbl>
    <w:p w14:paraId="6C447580" w14:textId="77777777" w:rsidR="005C72CA" w:rsidRDefault="00000000">
      <w:pPr>
        <w:spacing w:after="40" w:line="240" w:lineRule="auto"/>
      </w:pPr>
      <w:r>
        <w:rPr>
          <w:color w:val="000000"/>
          <w:sz w:val="20"/>
        </w:rPr>
        <w:t>Mohamed et al. (2008), Habitat Area figure, printed p. 8 / PDF p. 18. Karnataka shelf and parts of slope; source area 27,000 km².</w:t>
      </w:r>
      <w:r>
        <w:t xml:space="preserve"> | </w:t>
      </w:r>
      <w:hyperlink r:id="rId23" w:anchor="page=18">
        <w:r>
          <w:rPr>
            <w:rStyle w:val="Hyperlink"/>
          </w:rPr>
          <w:t>Source PDF</w:t>
        </w:r>
      </w:hyperlink>
    </w:p>
    <w:sectPr w:rsidR="005C72CA"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D9F310D"/>
    <w:multiLevelType w:val="hybridMultilevel"/>
    <w:tmpl w:val="F6FA6BA2"/>
    <w:lvl w:ilvl="0" w:tplc="3144576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6E6CC3"/>
    <w:multiLevelType w:val="hybridMultilevel"/>
    <w:tmpl w:val="1132F3C8"/>
    <w:lvl w:ilvl="0" w:tplc="7ACED2F2">
      <w:numFmt w:val="bullet"/>
      <w:lvlText w:val="-"/>
      <w:lvlJc w:val="left"/>
      <w:pPr>
        <w:ind w:left="720" w:hanging="360"/>
      </w:pPr>
      <w:rPr>
        <w:rFonts w:ascii="Calibri" w:eastAsiaTheme="minorEastAsia" w:hAnsi="Calibri" w:cs="Calibri" w:hint="default"/>
        <w:color w:val="000000"/>
        <w:sz w:val="2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1992002">
    <w:abstractNumId w:val="8"/>
  </w:num>
  <w:num w:numId="2" w16cid:durableId="1975334452">
    <w:abstractNumId w:val="6"/>
  </w:num>
  <w:num w:numId="3" w16cid:durableId="973412511">
    <w:abstractNumId w:val="5"/>
  </w:num>
  <w:num w:numId="4" w16cid:durableId="648828089">
    <w:abstractNumId w:val="4"/>
  </w:num>
  <w:num w:numId="5" w16cid:durableId="832450553">
    <w:abstractNumId w:val="7"/>
  </w:num>
  <w:num w:numId="6" w16cid:durableId="33965767">
    <w:abstractNumId w:val="3"/>
  </w:num>
  <w:num w:numId="7" w16cid:durableId="1914655751">
    <w:abstractNumId w:val="2"/>
  </w:num>
  <w:num w:numId="8" w16cid:durableId="1256328926">
    <w:abstractNumId w:val="1"/>
  </w:num>
  <w:num w:numId="9" w16cid:durableId="488904260">
    <w:abstractNumId w:val="0"/>
  </w:num>
  <w:num w:numId="10" w16cid:durableId="1117063349">
    <w:abstractNumId w:val="10"/>
  </w:num>
  <w:num w:numId="11" w16cid:durableId="409889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93C"/>
    <w:rsid w:val="0015074B"/>
    <w:rsid w:val="0029639D"/>
    <w:rsid w:val="00326F90"/>
    <w:rsid w:val="005606F0"/>
    <w:rsid w:val="005C72CA"/>
    <w:rsid w:val="005E2DB1"/>
    <w:rsid w:val="008F25B2"/>
    <w:rsid w:val="00995EAB"/>
    <w:rsid w:val="00AA1D8D"/>
    <w:rsid w:val="00B47730"/>
    <w:rsid w:val="00B73568"/>
    <w:rsid w:val="00CB0664"/>
    <w:rsid w:val="00D32D06"/>
    <w:rsid w:val="00D9207C"/>
    <w:rsid w:val="00E63F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2FFBC"/>
  <w14:defaultImageDpi w14:val="300"/>
  <w15:docId w15:val="{18FC1B13-822E-46EA-8648-459B6E60B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63FED"/>
    <w:pPr>
      <w:spacing w:after="100" w:line="247" w:lineRule="auto"/>
    </w:pPr>
    <w:rPr>
      <w:rFonts w:ascii="Calibri" w:hAnsi="Calibri"/>
    </w:rPr>
  </w:style>
  <w:style w:type="paragraph" w:styleId="1">
    <w:name w:val="heading 1"/>
    <w:basedOn w:val="a1"/>
    <w:next w:val="a1"/>
    <w:link w:val="10"/>
    <w:uiPriority w:val="9"/>
    <w:qFormat/>
    <w:rsid w:val="00FC693F"/>
    <w:pPr>
      <w:keepNext/>
      <w:keepLines/>
      <w:spacing w:before="480" w:after="16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rPr>
      <w:color w:val="0563C1"/>
      <w:u w:val="single"/>
    </w:rPr>
  </w:style>
  <w:style w:type="character" w:styleId="FollowedHyperlink">
    <w:name w:val="FollowedHyperlink"/>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raw/LME_032-exploited.json" TargetMode="External"/><Relationship Id="rId13" Type="http://schemas.openxmlformats.org/officeDocument/2006/relationships/hyperlink" Target="papers/LME032-Vivekanandan-2003/Chapter-14-Fa-05f6bf4f.pdf" TargetMode="External"/><Relationship Id="rId18" Type="http://schemas.openxmlformats.org/officeDocument/2006/relationships/hyperlink" Target="LME032_taxon_mapping_appendix.xlsx" TargetMode="External"/><Relationship Id="rId3" Type="http://schemas.openxmlformats.org/officeDocument/2006/relationships/styles" Target="styles.xml"/><Relationship Id="rId21" Type="http://schemas.openxmlformats.org/officeDocument/2006/relationships/hyperlink" Target="validation_reports/32_1_Arabian_Sea_off_Karnataka_(2000)/geography/geography_assessment.json" TargetMode="External"/><Relationship Id="rId7" Type="http://schemas.openxmlformats.org/officeDocument/2006/relationships/hyperlink" Target="raw/LME_032-catch.zip" TargetMode="External"/><Relationship Id="rId12" Type="http://schemas.openxmlformats.org/officeDocument/2006/relationships/hyperlink" Target="papers/LME032-Mohamed-2024/Annex_203_20AN_20ECOPATH_20MODEL_20OF_20TH-fa9ab08f.pdf" TargetMode="External"/><Relationship Id="rId17" Type="http://schemas.openxmlformats.org/officeDocument/2006/relationships/hyperlink" Target="validation_reports/32_1_Arabian_Sea_off_Karnataka_(2000)/diagnostics/adopted_loaded_state.jso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validation_reports/32_1_Arabian_Sea_off_Karnataka_(2000)/source/source_table_reconciliation.json" TargetMode="External"/><Relationship Id="rId20" Type="http://schemas.openxmlformats.org/officeDocument/2006/relationships/hyperlink" Target="../../common_reference_data/geography/LMEs.geojson" TargetMode="External"/><Relationship Id="rId1" Type="http://schemas.openxmlformats.org/officeDocument/2006/relationships/customXml" Target="../customXml/item1.xml"/><Relationship Id="rId6" Type="http://schemas.openxmlformats.org/officeDocument/2006/relationships/hyperlink" Target="LME_032.xlsx" TargetMode="External"/><Relationship Id="rId11" Type="http://schemas.openxmlformats.org/officeDocument/2006/relationships/hyperlink" Target="papers/LME032-Mohamed-2009/IJMS_38_281_29_69-76-cb87c6c1.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odels/32_1_Arabian_Sea_off_Karnataka_(2000)/sppr_source.xlsx" TargetMode="External"/><Relationship Id="rId23" Type="http://schemas.openxmlformats.org/officeDocument/2006/relationships/hyperlink" Target="papers/ARAB-2005/CMFRI-Bulletin-51-88a9c885.pdf" TargetMode="External"/><Relationship Id="rId10" Type="http://schemas.openxmlformats.org/officeDocument/2006/relationships/hyperlink" Target="https://eprints.cmfri.org.in/3945/"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papers/ARAB-2005/CMFRI-Bulletin-51-88a9c885.pdf" TargetMode="External"/><Relationship Id="rId14" Type="http://schemas.openxmlformats.org/officeDocument/2006/relationships/hyperlink" Target="models/32_1_Arabian_Sea_off_Karnataka_(2000)/model.json" TargetMode="Externa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Pages>
  <Words>1330</Words>
  <Characters>6652</Characters>
  <Application>Microsoft Office Word</Application>
  <DocSecurity>0</DocSecurity>
  <Lines>55</Lines>
  <Paragraphs>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Regional model validation template</vt:lpstr>
      <vt:lpstr/>
    </vt:vector>
  </TitlesOfParts>
  <Manager/>
  <Company/>
  <LinksUpToDate>false</LinksUpToDate>
  <CharactersWithSpaces>7967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Ido Carmel</cp:lastModifiedBy>
  <cp:revision>3</cp:revision>
  <dcterms:created xsi:type="dcterms:W3CDTF">2013-12-23T23:15:00Z</dcterms:created>
  <dcterms:modified xsi:type="dcterms:W3CDTF">2026-10-01T15:01:00Z</dcterms:modified>
  <cp:category/>
</cp:coreProperties>
</file>