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B2FE" w14:textId="77777777" w:rsidR="00E62E59" w:rsidRDefault="00000000">
      <w:pPr>
        <w:pStyle w:val="aa"/>
      </w:pPr>
      <w:r>
        <w:t>South China Sea model validation</w:t>
      </w:r>
    </w:p>
    <w:p w14:paraId="5A7082BA" w14:textId="77777777" w:rsidR="00CB220E" w:rsidRDefault="00000000">
      <w:r>
        <w:t>Validation record for the selected 2000s northern South China Sea model. The linked Excel appendix lists all 374 taxa, with mapping confidence and assumptions. Estimates remain provisional.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8237"/>
      </w:tblGrid>
      <w:tr w:rsidR="00E62E59" w14:paraId="00D51921" w14:textId="77777777" w:rsidTr="000C55BF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40C3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54A03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D6BF6BE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1B7C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3BD8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6FD2272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CCC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9FD2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5219179A" w14:textId="77777777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 w14:paraId="27AB4065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Assessment: 2019 landings, as recorded in Overview / Settings. Total catch includes landings + discards.</w:t>
            </w:r>
          </w:p>
        </w:tc>
      </w:tr>
      <w:tr w:rsidR="00E62E59" w14:paraId="5CB8406A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C3E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A98E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fishing: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3FB115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F75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C1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04AD1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170B3C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4BACC4A3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006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</w:t>
            </w:r>
            <w:proofErr w:type="spellStart"/>
            <w:r>
              <w:rPr>
                <w:sz w:val="21"/>
              </w:rPr>
              <w:t>Dongzhaigang</w:t>
            </w:r>
            <w:proofErr w:type="spellEnd"/>
            <w:r>
              <w:rPr>
                <w:sz w:val="21"/>
              </w:rPr>
              <w:t xml:space="preserve"> Bay, Hainan, (China) based on Ecopath and </w:t>
            </w:r>
            <w:proofErr w:type="spellStart"/>
            <w:r>
              <w:rPr>
                <w:sz w:val="21"/>
              </w:rPr>
              <w:t>Ecospace</w:t>
            </w:r>
            <w:proofErr w:type="spellEnd"/>
            <w:r>
              <w:rPr>
                <w:sz w:val="21"/>
              </w:rPr>
              <w:t xml:space="preserve">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155B29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</w:t>
            </w:r>
            <w:proofErr w:type="spellStart"/>
            <w:r>
              <w:rPr>
                <w:sz w:val="21"/>
              </w:rPr>
              <w:t>ecopath</w:t>
            </w:r>
            <w:proofErr w:type="spellEnd"/>
            <w:r>
              <w:rPr>
                <w:sz w:val="21"/>
              </w:rPr>
              <w:t xml:space="preserve">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64904EF5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6B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9E048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02FDFAE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sz w:val="21"/>
                </w:rPr>
                <w:t>Folder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sz w:val="21"/>
                </w:rPr>
                <w:t>JSON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 w:rsidR="00CB220E" w14:paraId="0E1DD78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E653" w14:textId="77777777" w:rsidR="00CB220E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B60D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368B0E89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248D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0F7B5" w14:textId="77777777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Article – ?</w:t>
            </w:r>
          </w:p>
          <w:p w14:paraId="4AFBBCE9" w14:textId="77777777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6BD03C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7A1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D4913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reconstruction report</w:t>
              </w:r>
            </w:hyperlink>
            <w:r w:rsidRPr="00D824C2">
              <w:rPr>
                <w:sz w:val="21"/>
              </w:rPr>
              <w:t xml:space="preserve"> </w:t>
            </w:r>
          </w:p>
          <w:p w14:paraId="1C3948C1" w14:textId="7777777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Pr="00D824C2">
              <w:rPr>
                <w:sz w:val="21"/>
              </w:rPr>
              <w:t>.</w:t>
            </w:r>
          </w:p>
          <w:p w14:paraId="5CA8C856" w14:textId="77777777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521A7C3C" w14:textId="77777777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GS not reported; defaulted to 0.2 for all consumer groups</w:t>
            </w:r>
            <w:r w:rsidR="00F70DCC">
              <w:rPr>
                <w:sz w:val="21"/>
              </w:rPr>
              <w:t>, 0 for producers/detritus/import groups</w:t>
            </w:r>
          </w:p>
          <w:p w14:paraId="5D1CE056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57156BAA" w14:textId="5826D431" w:rsidR="00CB220E" w:rsidRPr="002957D1" w:rsidRDefault="00E62E59" w:rsidP="002957D1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comparison</w:t>
              </w:r>
            </w:hyperlink>
            <w:r w:rsidRPr="00B568C2">
              <w:rPr>
                <w:sz w:val="21"/>
              </w:rPr>
              <w:t>.</w:t>
            </w:r>
          </w:p>
        </w:tc>
      </w:tr>
      <w:tr w:rsidR="00E62E59" w14:paraId="3983F8B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B78A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SPPR calculation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CE719" w14:textId="77777777" w:rsidR="00E62E59" w:rsidRDefault="00A25CC9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3CBA8C3D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seabirds (TE&lt;0.1%, TL=3.4, </w:t>
            </w:r>
            <w:proofErr w:type="spellStart"/>
            <w:r>
              <w:t>sppr_TE</w:t>
            </w:r>
            <w:proofErr w:type="spellEnd"/>
            <w:r>
              <w:t xml:space="preserve">=3.75M, </w:t>
            </w:r>
            <w:proofErr w:type="spellStart"/>
            <w:r>
              <w:t>sppr_GE</w:t>
            </w:r>
            <w:proofErr w:type="spellEnd"/>
            <w:r>
              <w:t>=21K)</w:t>
            </w:r>
          </w:p>
          <w:p w14:paraId="5BA2D833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other mammals (TE&lt;0.1%, TL=3.9, </w:t>
            </w:r>
            <w:proofErr w:type="spellStart"/>
            <w:r>
              <w:t>sppr_TE</w:t>
            </w:r>
            <w:proofErr w:type="spellEnd"/>
            <w:r>
              <w:t xml:space="preserve">=800K, </w:t>
            </w:r>
            <w:proofErr w:type="spellStart"/>
            <w:r>
              <w:t>sppr_GE</w:t>
            </w:r>
            <w:proofErr w:type="spellEnd"/>
            <w:r>
              <w:t>=13K)</w:t>
            </w:r>
          </w:p>
          <w:p w14:paraId="114D06C7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Pinnipeds (TE&lt;0.1%, TL=4.1, </w:t>
            </w:r>
            <w:proofErr w:type="spellStart"/>
            <w:r>
              <w:t>sppr_TE</w:t>
            </w:r>
            <w:proofErr w:type="spellEnd"/>
            <w:r>
              <w:t xml:space="preserve">=340K, </w:t>
            </w:r>
            <w:proofErr w:type="spellStart"/>
            <w:r>
              <w:t>sppr_GE</w:t>
            </w:r>
            <w:proofErr w:type="spellEnd"/>
            <w:r>
              <w:t>=3400)</w:t>
            </w:r>
          </w:p>
          <w:p w14:paraId="5309C97F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Marine Turtles (TE&lt;1%, TL=3, </w:t>
            </w:r>
            <w:proofErr w:type="spellStart"/>
            <w:r>
              <w:t>sppr_TE</w:t>
            </w:r>
            <w:proofErr w:type="spellEnd"/>
            <w:r>
              <w:t xml:space="preserve">=20K, </w:t>
            </w:r>
            <w:proofErr w:type="spellStart"/>
            <w:r>
              <w:t>sppr_GE</w:t>
            </w:r>
            <w:proofErr w:type="spellEnd"/>
            <w:r>
              <w:t>=724)</w:t>
            </w:r>
          </w:p>
        </w:tc>
      </w:tr>
    </w:tbl>
    <w:p w14:paraId="16EA17D8" w14:textId="77777777" w:rsidR="00E62E59" w:rsidRDefault="00E62E59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E62E59" w14:paraId="1619D941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1814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84E8A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5F1AD3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0534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79B45" w14:textId="2560C89C" w:rsidR="00CB220E" w:rsidRDefault="0005224C" w:rsidP="0005224C">
            <w:pPr>
              <w:spacing w:after="45" w:line="240" w:lineRule="auto"/>
            </w:pPr>
            <w:r w:rsidRPr="0005224C">
              <w:rPr>
                <w:color w:val="000000"/>
                <w:sz w:val="21"/>
              </w:rPr>
              <w:t>no negative SPPR entries across the basal-source columns</w:t>
            </w:r>
            <w:r w:rsidR="00000000">
              <w:rPr>
                <w:color w:val="000000"/>
                <w:sz w:val="21"/>
              </w:rPr>
              <w:t>.</w:t>
            </w:r>
          </w:p>
          <w:p w14:paraId="4A8C5CD7" w14:textId="77777777" w:rsidR="00CB220E" w:rsidRDefault="00000000">
            <w:pPr>
              <w:spacing w:after="45" w:line="240" w:lineRule="auto"/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0.3209187537609611; b = 0.00408138212364339.</w:t>
            </w:r>
          </w:p>
          <w:p w14:paraId="05D2757B" w14:textId="5AEAD132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Detritus (38): SPPR = 1.007782936216668.</w:t>
            </w:r>
          </w:p>
        </w:tc>
      </w:tr>
      <w:tr w:rsidR="00E62E59" w14:paraId="6226DBF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E5C3C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38105" w14:textId="77777777" w:rsidR="0005224C" w:rsidRDefault="0005224C" w:rsidP="0005224C">
            <w:pPr>
              <w:spacing w:after="45" w:line="240" w:lineRule="auto"/>
            </w:pPr>
            <w:r w:rsidRPr="0005224C">
              <w:rPr>
                <w:color w:val="000000"/>
                <w:sz w:val="21"/>
              </w:rPr>
              <w:t>no negative SPPR entries across the basal-source columns</w:t>
            </w:r>
            <w:r>
              <w:rPr>
                <w:color w:val="000000"/>
                <w:sz w:val="21"/>
              </w:rPr>
              <w:t>.</w:t>
            </w:r>
          </w:p>
          <w:p w14:paraId="0C1A6E93" w14:textId="77777777" w:rsidR="00CB220E" w:rsidRDefault="00000000">
            <w:pPr>
              <w:spacing w:after="45" w:line="240" w:lineRule="auto"/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0.6163296517365333.</w:t>
            </w:r>
          </w:p>
          <w:p w14:paraId="3647236D" w14:textId="0A6A0268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 xml:space="preserve">Detritus (38): SPPR = 0.995222499887902. </w:t>
            </w:r>
          </w:p>
        </w:tc>
      </w:tr>
      <w:tr w:rsidR="00E62E59" w14:paraId="44CCF3C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BA7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E421E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A. Region covered by study: approximately 15–25%.</w:t>
            </w:r>
          </w:p>
          <w:p w14:paraId="4ED7B87A" w14:textId="148A1C6E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>B. Study area covered by region: approximately 90–100%.</w:t>
            </w:r>
          </w:p>
        </w:tc>
      </w:tr>
      <w:tr w:rsidR="00E62E59" w14:paraId="5512852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739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B135D" w14:textId="77777777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3481F91F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86C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F71E9" w14:textId="243926A5" w:rsidR="00E62E59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Diagnostics were run before groups removal.</w:t>
            </w:r>
          </w:p>
        </w:tc>
      </w:tr>
      <w:tr w:rsidR="00E62E59" w14:paraId="1244EE70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EF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9296" w14:textId="77777777" w:rsidR="00E62E59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Test how much SPPR and PPR values change when using the 1970 model.</w:t>
            </w:r>
          </w:p>
          <w:p w14:paraId="26A7D158" w14:textId="7BFF17C9" w:rsidR="0005224C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Add article selection reason when we review other articles</w:t>
            </w:r>
          </w:p>
          <w:p w14:paraId="7E6F6364" w14:textId="260DE325" w:rsid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</w:p>
        </w:tc>
      </w:tr>
      <w:tr w:rsidR="00E62E59" w14:paraId="36E1598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02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9E9F6" w14:textId="77C148A9" w:rsidR="00E62E59" w:rsidRPr="0005224C" w:rsidRDefault="00000000" w:rsidP="0005224C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Researcher name:</w:t>
            </w:r>
            <w:r w:rsidR="0005224C">
              <w:rPr>
                <w:sz w:val="21"/>
              </w:rPr>
              <w:t xml:space="preserve"> Ido Carmel</w:t>
            </w:r>
            <w:r>
              <w:rPr>
                <w:sz w:val="21"/>
              </w:rPr>
              <w:t xml:space="preserve"> | review date: </w:t>
            </w:r>
            <w:r w:rsidR="0005224C">
              <w:rPr>
                <w:sz w:val="21"/>
              </w:rPr>
              <w:t>30/09/2026</w:t>
            </w:r>
          </w:p>
        </w:tc>
      </w:tr>
    </w:tbl>
    <w:p w14:paraId="7E33B394" w14:textId="77777777" w:rsidR="00E62E59" w:rsidRDefault="00000000">
      <w:r>
        <w:br w:type="page"/>
      </w:r>
    </w:p>
    <w:p w14:paraId="207D2F6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1E03682E" w14:textId="77777777" w:rsidR="006C7DAA" w:rsidRDefault="00000000">
      <w:pPr>
        <w:spacing w:after="120"/>
        <w:rPr>
          <w:color w:val="000000"/>
          <w:sz w:val="21"/>
        </w:rPr>
      </w:pPr>
      <w:r>
        <w:rPr>
          <w:color w:val="000000"/>
          <w:sz w:val="21"/>
        </w:rPr>
        <w:t>Reference: 2019 landings, excluding discards. All sources, all taxa and groups;</w:t>
      </w:r>
    </w:p>
    <w:p w14:paraId="7D912968" w14:textId="03C07E29" w:rsidR="00CB220E" w:rsidRDefault="00000000">
      <w:pPr>
        <w:spacing w:after="120"/>
      </w:pPr>
      <w:r>
        <w:rPr>
          <w:color w:val="000000"/>
          <w:sz w:val="21"/>
        </w:rPr>
        <w:t>There are 38 source groups plus one computational import and 374 catch taxa.</w:t>
      </w:r>
    </w:p>
    <w:p w14:paraId="3B8B22F4" w14:textId="77777777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>Simple-chain PPR totals 837,452,937.79 t C in 2019.</w:t>
      </w:r>
    </w:p>
    <w:p w14:paraId="2190B0D3" w14:textId="5A5B19B2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 xml:space="preserve">The 34 taxa </w:t>
      </w:r>
      <w:r>
        <w:rPr>
          <w:color w:val="000000"/>
          <w:sz w:val="21"/>
        </w:rPr>
        <w:t>that</w:t>
      </w:r>
      <w:r w:rsidRPr="007A2E06">
        <w:rPr>
          <w:color w:val="000000"/>
          <w:sz w:val="21"/>
        </w:rPr>
        <w:t xml:space="preserve"> lack an assigned trophic level</w:t>
      </w:r>
      <w:r w:rsidRPr="007A2E06">
        <w:rPr>
          <w:color w:val="000000"/>
          <w:sz w:val="21"/>
        </w:rPr>
        <w:t xml:space="preserve"> </w:t>
      </w:r>
      <w:r w:rsidRPr="007A2E06">
        <w:rPr>
          <w:color w:val="000000"/>
          <w:sz w:val="21"/>
        </w:rPr>
        <w:t>have zero landings that year and therefore contribute zero PPR.</w:t>
      </w:r>
    </w:p>
    <w:p w14:paraId="44EE7F8E" w14:textId="0BE4DB85" w:rsidR="00CB220E" w:rsidRDefault="007A2E06">
      <w:pPr>
        <w:spacing w:after="120"/>
      </w:pPr>
      <w:r w:rsidRPr="007A2E06">
        <w:rPr>
          <w:color w:val="000000"/>
          <w:sz w:val="21"/>
        </w:rPr>
        <w:t xml:space="preserve">Simple-chain </w:t>
      </w:r>
      <w:r w:rsidR="006C7DAA">
        <w:rPr>
          <w:color w:val="000000"/>
          <w:sz w:val="21"/>
        </w:rPr>
        <w:t>PPR is calculated with the simple trophic chain method.</w:t>
      </w:r>
    </w:p>
    <w:p w14:paraId="0CA03F55" w14:textId="77777777" w:rsidR="00CB220E" w:rsidRDefault="00000000">
      <w:pPr>
        <w:spacing w:after="120"/>
      </w:pPr>
      <w:hyperlink r:id="rId29">
        <w:r>
          <w:rPr>
            <w:color w:val="175E72"/>
            <w:u w:val="single"/>
          </w:rPr>
          <w:t>Excel taxon appendix and Sources</w:t>
        </w:r>
      </w:hyperlink>
      <w:r>
        <w:t xml:space="preserve"> contains all taxa, sorted by unrounded PPR, and allocation values and assumptions.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CB220E" w14:paraId="2230DE1D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AA640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CD9EE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556C0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percentage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1DB18B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39.0208%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31.8829%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133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27.7680%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46.9248%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89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21.0080%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17.1813%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12.2032%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</w:tr>
    </w:tbl>
    <w:p w14:paraId="2BF65A6B" w14:textId="77777777" w:rsidR="006C7DAA" w:rsidRDefault="006C7DAA">
      <w:pPr>
        <w:spacing w:after="120"/>
        <w:rPr>
          <w:color w:val="000000"/>
          <w:sz w:val="21"/>
        </w:rPr>
      </w:pPr>
    </w:p>
    <w:p w14:paraId="241EA2A8" w14:textId="26C9EF84" w:rsidR="00CB220E" w:rsidRDefault="00000000">
      <w:pPr>
        <w:spacing w:after="120"/>
      </w:pPr>
      <w:r>
        <w:rPr>
          <w:color w:val="000000"/>
          <w:sz w:val="21"/>
        </w:rPr>
        <w:t xml:space="preserve">The summary uses the weaker required membership or allocation confidence. The following tables show each component separately. </w:t>
      </w:r>
    </w:p>
    <w:p w14:paraId="4652D1A9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145295A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216E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76C728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C33EF2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taxonomy and ecology unambiguously meet the group definition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47.9897%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Ecological fit is partial or the source definition is conflicting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17.1813%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source explicitly assigns the taxon to the model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15.2077%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Taxonomy, ecology and group definitions support the eligible group set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14.4949%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A broad catch label is approximated by compatible model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size and habitat support an ecological assignment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1.1153%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closest represented ecological analogue substitutes for an absent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0.000025%</w:t>
            </w:r>
          </w:p>
        </w:tc>
      </w:tr>
    </w:tbl>
    <w:p w14:paraId="024E2B03" w14:textId="77777777" w:rsidR="00CB220E" w:rsidRDefault="00000000">
      <w:pPr>
        <w:spacing w:after="120"/>
      </w:pPr>
      <w:r>
        <w:t xml:space="preserve">Membership sources: </w:t>
      </w:r>
      <w:hyperlink r:id="rId30" w:anchor="page=337">
        <w:r>
          <w:rPr>
            <w:color w:val="175E72"/>
            <w:u w:val="single"/>
          </w:rPr>
          <w:t xml:space="preserve">Cheung group </w:t>
        </w:r>
        <w:r>
          <w:rPr>
            <w:color w:val="175E72"/>
            <w:u w:val="single"/>
          </w:rPr>
          <w:t>d</w:t>
        </w:r>
        <w:r>
          <w:rPr>
            <w:color w:val="175E72"/>
            <w:u w:val="single"/>
          </w:rPr>
          <w:t>efinitions</w:t>
        </w:r>
      </w:hyperlink>
      <w:r>
        <w:t xml:space="preserve">; </w:t>
      </w:r>
      <w:hyperlink r:id="rId31">
        <w:r>
          <w:rPr>
            <w:color w:val="175E72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 w14:paraId="0BD4CB7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Allocation and mapping uncertainty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3373626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8F33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A97D1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303BC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Model catch proportions supply an assumed allocation across eligible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64.7287%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taxon is assigned to one group and needs no split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35.2713%</w:t>
            </w:r>
          </w:p>
        </w:tc>
      </w:tr>
    </w:tbl>
    <w:p w14:paraId="502549E2" w14:textId="69D975DC" w:rsidR="00CB220E" w:rsidRDefault="00000000">
      <w:pPr>
        <w:spacing w:after="120"/>
      </w:pPr>
      <w:r>
        <w:rPr>
          <w:color w:val="000000"/>
          <w:sz w:val="21"/>
        </w:rPr>
        <w:t xml:space="preserve">Each percentage is the simple-chain PPR associated with taxa using that rule.</w:t>
      </w:r>
    </w:p>
    <w:p w14:paraId="41904316" w14:textId="77777777" w:rsidR="00CB220E" w:rsidRDefault="00000000">
      <w:pPr>
        <w:spacing w:after="120"/>
      </w:pPr>
      <w:r>
        <w:rPr>
          <w:color w:val="000000"/>
          <w:sz w:val="21"/>
        </w:rPr>
        <w:t>All 374 catch taxa have an assigned group: 100% of 2019 landings and simple-chain PPR are mapped. Unresolved taxa: none. This includes 10 Very low assignments covering 12.2032% of landings and 4.0110% of simple-chain PPR; their taxa, weights and reasons are flagged in the Excel appendix.</w:t>
      </w:r>
    </w:p>
    <w:p w14:paraId="566A709E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CB220E" w14:paraId="7DC002B5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6F3E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AF64E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Marine fishes not identified; Perciformes; Marine finfishes not identified; Chondrichthyes; Miscellaneous aquatic invertebrates; Marine groundfishes not identified; Marine pelagic fishes not identified; Gadiformes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Catch composition is unknown; compatible named and residual pools provide a broad approximation. Exact candidates and assumptions are in the appendix.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Lampris guttatus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The historical opah label represents offshore deep-living fishes and a subsequently divided species complex. The adopted shelf large-pelagic pair remains a closest represented analogue without an established link to the source guild's sampled assemblage.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Lepidocybium flavobrunneum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Escolar is principally a continental-slope fish below 200 m with upward night movements. The adopted shelf large-pelagic pair remains a weak analogue; a competing benthopelagic interpretation and the missing deep-water compartment are unresolved.</w:t>
            </w:r>
          </w:p>
        </w:tc>
      </w:tr>
    </w:tbl>
    <w:p w14:paraId="444C3D18" w14:textId="77777777" w:rsidR="00CB220E" w:rsidRDefault="00000000">
      <w:pPr>
        <w:spacing w:after="120"/>
      </w:pPr>
      <w:r>
        <w:rPr>
          <w:color w:val="000000"/>
          <w:sz w:val="21"/>
        </w:rPr>
        <w:t>Whole model-pool catch proportions are assumed representative of regional taxon catches across 1950–2019 and all catch bases. These are not observed target-catch mixtures. Another 89 taxa retain Low confidence because of size, habitat or source-group ambiguity.</w:t>
      </w:r>
    </w:p>
    <w:p w14:paraId="3BD09A82" w14:textId="77777777" w:rsidR="00CB220E" w:rsidRDefault="00000000">
      <w:pPr>
        <w:spacing w:after="120"/>
      </w:pPr>
      <w:r>
        <w:t xml:space="preserve">Allocation sources: </w:t>
      </w:r>
      <w:hyperlink r:id="rId32">
        <w:r>
          <w:rPr>
            <w:color w:val="175E72"/>
            <w:u w:val="single"/>
          </w:rPr>
          <w:t>selected model catch and biomass fields</w:t>
        </w:r>
      </w:hyperlink>
      <w:r>
        <w:t xml:space="preserve">; </w:t>
      </w:r>
      <w:hyperlink r:id="rId33">
        <w:r>
          <w:rPr>
            <w:color w:val="175E72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 w14:paraId="4CC4506E" w14:textId="77777777" w:rsidR="00CB220E" w:rsidRDefault="00000000">
      <w:pPr>
        <w:spacing w:after="120"/>
      </w:pPr>
      <w:r>
        <w:rPr>
          <w:color w:val="000000"/>
          <w:sz w:val="21"/>
        </w:rPr>
        <w:t>High mapping coverage does not establish model validity. The northern shelf model is extrapolated to the wider region; the diagnostic and source-matrix limitations above remain.</w:t>
      </w:r>
    </w:p>
    <w:p w14:paraId="224E78AF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 w14:paraId="37789A8E" w14:textId="77777777" w:rsidR="00CB220E" w:rsidRDefault="00000000">
      <w:r>
        <w:rPr>
          <w:color w:val="000000"/>
          <w:sz w:val="21"/>
        </w:rPr>
        <w:t>R is LME036; S is the northern shelf coast-to-broken-line area in Cheung Figure 6.1. The grid and shared coastal landmarks support the approximate ranges above.</w:t>
      </w:r>
    </w:p>
    <w:p w14:paraId="28CE1048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0BBEE70D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353B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201FB031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9C37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702D7" w14:textId="77777777" w:rsidR="00E62E59" w:rsidRDefault="00000000">
      <w:r>
        <w:t xml:space="preserve">LME_036 South China Sea (R). Retained researcher figure drawn from </w:t>
      </w:r>
      <w:hyperlink r:id="rId35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6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7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59F4F767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6CB3205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09A7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3E316F90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66D3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C906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39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40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41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38D99943" w14:textId="77777777" w:rsidR="00CB220E" w:rsidRDefault="00000000">
      <w:r>
        <w:rPr>
          <w:color w:val="000000"/>
          <w:sz w:val="21"/>
        </w:rPr>
        <w:t>Visual estimates transfer geographic landmarks between maps; raw screenshot pixel areas were not compared. Boundary interpretation near Taiwan and differing map scales limit precision.</w:t>
      </w:r>
    </w:p>
    <w:sectPr w:rsidR="00CB220E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24C"/>
    <w:rsid w:val="0006063C"/>
    <w:rsid w:val="000C55BF"/>
    <w:rsid w:val="0015074B"/>
    <w:rsid w:val="002957D1"/>
    <w:rsid w:val="0029639D"/>
    <w:rsid w:val="00302AE6"/>
    <w:rsid w:val="00326F90"/>
    <w:rsid w:val="00582F4E"/>
    <w:rsid w:val="0066214C"/>
    <w:rsid w:val="006C7DAA"/>
    <w:rsid w:val="007A2E06"/>
    <w:rsid w:val="00A13D3D"/>
    <w:rsid w:val="00A25CC9"/>
    <w:rsid w:val="00AA1D8D"/>
    <w:rsid w:val="00B47730"/>
    <w:rsid w:val="00B568C2"/>
    <w:rsid w:val="00C053B6"/>
    <w:rsid w:val="00C4458A"/>
    <w:rsid w:val="00C6398C"/>
    <w:rsid w:val="00CB0664"/>
    <w:rsid w:val="00CB220E"/>
    <w:rsid w:val="00D21344"/>
    <w:rsid w:val="00D824C2"/>
    <w:rsid w:val="00DE40EA"/>
    <w:rsid w:val="00E62E59"/>
    <w:rsid w:val="00F70DCC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DFB88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224C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hyperlink" Target="validation_reports/36_1_South_China_Sea_SCS-2007_Northern_South_China_Sea_%282000s%29/source/Cheung_2007.pdf" TargetMode="External"/><Relationship Id="rId21" Type="http://schemas.openxmlformats.org/officeDocument/2006/relationships/hyperlink" Target="papers/LME036-PearlRanch-2026/" TargetMode="External"/><Relationship Id="rId34" Type="http://schemas.openxmlformats.org/officeDocument/2006/relationships/image" Target="media/image1.png"/><Relationship Id="rId42" Type="http://schemas.openxmlformats.org/officeDocument/2006/relationships/fontTable" Target="fontTable.xml"/><Relationship Id="rId7" Type="http://schemas.openxmlformats.org/officeDocument/2006/relationships/hyperlink" Target="https://www.seaaroundus.org/dat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LME036_taxon_mapping_appendix.xlsx" TargetMode="External"/><Relationship Id="rId41" Type="http://schemas.openxmlformats.org/officeDocument/2006/relationships/hyperlink" Target="validation_reports/36_1_South_China_Sea_SCS-2007_Northern_South_China_Sea_%282000s%29/article_figure_6_1.p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models/36_1_South_China_Sea_SCS-2007_Northern_South_China_Sea_(2000s)/model.json" TargetMode="External"/><Relationship Id="rId37" Type="http://schemas.openxmlformats.org/officeDocument/2006/relationships/hyperlink" Target="validation_reports/36_1_South_China_Sea_SCS-2007_Northern_South_China_Sea_%282000s%29/LME_036_boundary.png" TargetMode="External"/><Relationship Id="rId40" Type="http://schemas.openxmlformats.org/officeDocument/2006/relationships/hyperlink" Target="https://doi.org/10.14288/1.0074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validation_reports/36_1_South_China_Sea_SCS-2007_Northern_South_China_Sea_%282000s%29/coverage_geography_test_note.md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LME_036.xlsx" TargetMode="Externa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hyperlink" Target="papers/SCS-2007/ubc_2007-317501-87ea9ea0.pdf" TargetMode="External"/><Relationship Id="rId35" Type="http://schemas.openxmlformats.org/officeDocument/2006/relationships/hyperlink" Target="validation_reports/36_1_South_China_Sea_SCS-2007_Northern_South_China_Sea_%282000s%29/geography/LMEs.geojson" TargetMode="External"/><Relationship Id="rId43" Type="http://schemas.openxmlformats.org/officeDocument/2006/relationships/theme" Target="theme/theme1.xm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validation_reports/36_1_South_China_Sea_SCS-2007_Northern_South_China_Sea_(2000s)/confidence_reassessment_20260930/taxon_audit_adopted.json" TargetMode="External"/><Relationship Id="rId3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6</Pages>
  <Words>1876</Words>
  <Characters>9383</Characters>
  <Application>Microsoft Office Word</Application>
  <DocSecurity>0</DocSecurity>
  <Lines>78</Lines>
  <Paragraphs>22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11237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6</cp:revision>
  <dcterms:created xsi:type="dcterms:W3CDTF">2013-12-23T23:15:00Z</dcterms:created>
  <dcterms:modified xsi:type="dcterms:W3CDTF">2026-09-30T08:12:00Z</dcterms:modified>
  <cp:category/>
</cp:coreProperties>
</file>