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Regional model validation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[Region name | identifier | Regional workbook]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[Provider; catch years; catch basis; date/version]</w:t>
              <w:br/>
              <w:t xml:space="preserve">[Region | Catch files]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[Authors (year). Title.]</w:t>
              <w:br/>
              <w:t xml:space="preserve">[DOI | Paper PDF | Paper folder]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[Author/year; short title; DOI or local record — one entry per article]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[Exact model ID/name; period; domain; source groups]</w:t>
              <w:br/>
              <w:t xml:space="preserve">[Folder | JSON | Saved runtime, if relevant]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Other models from the same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[Other model: period; area; distinguishing features — one entry per model]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Article — [documented reason, or ?]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Model — [documented reason, or ?]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[Source reconstruction report]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[Material source conflicts; treatment | Conflict report]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[Diet sums: discrepancy and treatment, if relevant]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[Missing/default GS; derived BA; other material changes]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[MANUAL — Researcher: calculation choices and reasons]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[Excluded groups, scope and relevant values; other adjustments]</w:t>
            </w:r>
          </w:p>
        </w:tc>
      </w:tr>
    </w:tbl>
    <w:p>
      <w:pPr>
        <w:spacing w:after="40" w:before="0" w:line="240" w:lineRule="auto"/>
        <w:pageBreakBefore/>
      </w:pPr>
      <w:r>
        <w:rPr>
          <w:rFonts w:ascii="Calibri" w:hAnsi="Calibri"/>
          <w:sz w:val="2"/>
          <w:color w:val="000000"/>
        </w:rPr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[No negative SPPR entries across the basal-source columns; otherwise list each affected source and its groups by name/ID.]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rho_living = [value]; b = [value].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Detritus [pool name/ID]: SPPR = [value].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[No negative SPPR entries across the basal-source columns; otherwise list each affected source and its groups by name/ID.]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rho_living = [value].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Detritus [pool name/ID]: SPPR = [value].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A. Region covered by study: [approximately, if applicable] [value or range]%.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B. Study area covered by region: [approximately, if applicable] [value or range]%.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[Model period; catch years; material implications of applying fixed coefficients or weights across years.]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[Researcher: open issues and next actions]</w:t>
              <w:br/>
              <w:t/>
              <w:br/>
              <w:t/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Researcher name: [name] | review date: [date]</w:t>
              <w:br/>
              <w:t/>
              <w:br/>
              <w:t/>
              <w:br/>
              <w:t/>
            </w:r>
          </w:p>
        </w:tc>
      </w:tr>
    </w:tbl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30"/>
        </w:rPr>
        <w:t>Taxon mapping and coverage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Reference: [year and catch basis]; [source scope and taxon/group filters].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[n] source groups [+ synthetic imports separately]; [n] catch taxa.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Simple-chain PPR totals [value] t C in [year].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[If applicable: n taxa lack assigned TL/coefficient. Zero recorded catch gives zero PPR; positive catch with no coefficient has unknown PPR.]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Simple-chain PPR is calculated with [method name].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</w:r>
      <w:hyperlink r:id="rIdValidation1">
        <w:r>
          <w:rPr>
            <w:color w:val="175E72"/>
            <w:u w:val="single"/>
          </w:rPr>
          <w:t>[Linked Excel taxon appendix and descriptive Sources sheet]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1440"/>
        <w:gridCol w:w="2304"/>
        <w:gridCol w:w="2376"/>
      </w:tblGrid>
      <w:tr>
        <w:trPr>
          <w:tblHeader/>
          <w:cantSplit/>
        </w:trPr>
        <w:tc>
          <w:tcPr>
            <w:tcW w:type="dxa" w:w="3888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Overall confidence</w:t>
            </w:r>
          </w:p>
        </w:tc>
        <w:tc>
          <w:tcPr>
            <w:tcW w:type="dxa" w:w="1440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Taxa</w:t>
            </w:r>
          </w:p>
        </w:tc>
        <w:tc>
          <w:tcPr>
            <w:tcW w:type="dxa" w:w="230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Catch percentage</w:t>
            </w:r>
          </w:p>
        </w:tc>
        <w:tc>
          <w:tcPr>
            <w:tcW w:type="dxa" w:w="2376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High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[n]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  <w:tr>
        <w:trPr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Medium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[n]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Low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[n]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  <w:tr>
        <w:trPr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Very low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[n]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  <w:tr>
        <w:trPr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Unresolved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[n]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The summary uses the weaker required membership or allocation confidence. The following tables show each component separately.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Group assignment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[Rules in descending PPR coverage; highest first]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[Level]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  <w:tr>
        <w:trPr>
          <w:cantSplit/>
        </w:trPr>
        <w:tc>
          <w:tcPr>
            <w:tcW w:type="dxa" w:w="662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[Continue in descending order; include unresolved if used]</w:t>
            </w:r>
          </w:p>
        </w:tc>
        <w:tc>
          <w:tcPr>
            <w:tcW w:type="dxa" w:w="151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[Level]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[Add a Sum row only if the PPR percentages do not total 100%; otherwise omit it.]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Allocation weight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[Every actual allocation rule in full words]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[Level]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  <w:tr>
        <w:trPr>
          <w:cantSplit/>
        </w:trPr>
        <w:tc>
          <w:tcPr>
            <w:tcW w:type="dxa" w:w="662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[Unresolved or not applicable where used]</w:t>
            </w:r>
          </w:p>
        </w:tc>
        <w:tc>
          <w:tcPr>
            <w:tcW w:type="dxa" w:w="151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[Level]</w:t>
            </w:r>
          </w:p>
        </w:tc>
        <w:tc>
          <w:tcPr>
            <w:tcW w:type="dxa" w:w="1872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[%]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Each percentage is the simple-chain PPR associated with taxa using that rule. [Use known PPR only when unknown annual contributions remain.]</w:t>
      </w:r>
    </w:p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[Unresolved taxa: name each and give a short reason, or state none. Very low decisions: group by assumption, name the taxa or link exact appendix rows, and give their catch/PPR share. Scientific findings only; keep workflow and verification details in supporting records.]</w:t>
      </w:r>
    </w:p>
    <w:p>
      <w:pPr>
        <w:pStyle w:val="Title"/>
        <w:pageBreakBefore/>
        <w:keepNext/>
        <w:pageBreakBefore/>
      </w:pPr>
      <w:r>
        <w:t>Geographic evidence screenshots</w:t>
      </w:r>
    </w:p>
    <w:p>
      <w:pPr>
        <w:spacing w:after="40" w:before="0" w:line="240" w:lineRule="auto"/>
      </w:pPr>
      <w:r>
        <w:rPr>
          <w:rFonts w:ascii="Calibri" w:hAnsi="Calibri"/>
          <w:sz w:val="21"/>
          <w:color w:val="000000"/>
        </w:rPr>
        <w:t xml:space="preserve">Target region R and selected model study area S. [Overlap method and approximation, if applicable.]</w:t>
      </w:r>
    </w:p>
    <w:p>
      <w:pPr>
        <w:pStyle w:val="Heading2"/>
      </w:pPr>
      <w:r>
        <w:t>Region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>
        <w:trPr>
          <w:cantSplit/>
          <w:trHeight w:val="2880" w:hRule="atLeast"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[Insert readable boundary image]</w:t>
            </w:r>
          </w:p>
        </w:tc>
      </w:tr>
    </w:tbl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 xml:space="preserve">[Region name/ID; boundary source/version | Source | Image]</w:t>
      </w:r>
    </w:p>
    <w:p>
      <w:pPr>
        <w:pStyle w:val="Heading2"/>
      </w:pPr>
      <w:r>
        <w:t>Study area in the article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>
        <w:trPr>
          <w:cantSplit/>
          <w:trHeight w:val="2880" w:hRule="atLeast"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[Insert readable boundary image]</w:t>
            </w:r>
          </w:p>
        </w:tc>
      </w:tr>
    </w:tbl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 xml:space="preserve">[Article; figure/page; represented model area | Source PDF | Image]</w:t>
      </w:r>
    </w:p>
    <w:p>
      <w:pPr>
        <w:spacing w:after="40" w:before="0" w:line="240" w:lineRule="auto"/>
      </w:pPr>
      <w:r>
        <w:rPr>
          <w:rFonts w:ascii="Calibri" w:hAnsi="Calibri"/>
          <w:sz w:val="20"/>
          <w:color w:val="000000"/>
        </w:rPr>
        <w:t xml:space="preserve">[If a figure is unavailable, state the missing source or reason.]</w:t>
      </w:r>
    </w:p>
    <w:sectPr w:rsidR="00FC693F" w:rsidRPr="0006063C" w:rsidSect="00034616">
      <w:type w:val="nextPage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Validation1" Type="http://schemas.openxmlformats.org/officeDocument/2006/relationships/hyperlink" Target="[Excel_appendix.xlsx]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