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Canary Current model validation</w:t>
      </w:r>
    </w:p>
    <w:tbl>
      <w:tblPr>
        <w:tblW w:type="auto" w:w="0"/>
        <w:jc w:val="center"/>
        <w:tblLayout w:type="fixed"/>
        <w:tblLook w:firstColumn="1" w:firstRow="1" w:lastColumn="0" w:lastRow="0" w:noHBand="0" w:noVBand="1" w:val="04A0"/>
      </w:tblPr>
      <w:tblGrid>
        <w:gridCol w:w="2203"/>
        <w:gridCol w:w="7834"/>
      </w:tblGrid>
      <w:tr>
        <w:trPr>
          <w:cantSplit/>
          <w:tblHeader/>
          <w:tblHeader/>
          <w:cantSplit/>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Entry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Region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Northwest African Shelf / Canary Current, LME_027; Sea Around Us target boundary.</w:t>
            </w:r>
            <w:r>
              <w:t xml:space="preserve"> </w:t>
            </w:r>
            <w:hyperlink r:id="rId9">
              <w:r>
                <w:rPr>
                  <w:color w:val="0563C1"/>
                  <w:u w:val="single"/>
                </w:rPr>
                <w:t>Regional workbook</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Catch source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Sea Around Us catch series 1950–2019. Reference: 2019 landings; all 512 exact labels, including unidentified and zero-catch records.</w:t>
            </w:r>
            <w:r>
              <w:t xml:space="preserve"> </w:t>
            </w:r>
            <w:hyperlink r:id="rId10">
              <w:r>
                <w:rPr>
                  <w:color w:val="0563C1"/>
                  <w:u w:val="single"/>
                </w:rPr>
                <w:t>Catch inputs</w:t>
              </w:r>
            </w:hyperlink>
            <w:r>
              <w:t xml:space="preserve"> | </w:t>
            </w:r>
            <w:hyperlink r:id="rId9">
              <w:r>
                <w:rPr>
                  <w:color w:val="0563C1"/>
                  <w:u w:val="single"/>
                </w:rPr>
                <w:t>Regional catch</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Morissette, Melgo, Kaschner, Gerber &amp; Bamy (2009). Food web model and data for studying the interactions between marine mammals and fisheries in the Northwest African ecosystem. Fisheries Centre Research Reports 17(2). Exact final report unavailable; retained 2008 preliminary source is distinct.</w:t>
            </w:r>
            <w:r>
              <w:t xml:space="preserve"> </w:t>
            </w:r>
            <w:hyperlink r:id="rId11">
              <w:r>
                <w:rPr>
                  <w:color w:val="0563C1"/>
                  <w:u w:val="single"/>
                </w:rPr>
                <w:t>2008 preliminary PDF</w:t>
              </w:r>
            </w:hyperlink>
            <w:r>
              <w:t xml:space="preserve"> | </w:t>
            </w:r>
            <w:hyperlink r:id="rId12">
              <w:r>
                <w:rPr>
                  <w:color w:val="0563C1"/>
                  <w:u w:val="single"/>
                </w:rPr>
                <w:t>Source identity review</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 known articles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Guénette et al. (2014), Mauritanian Shelf/Banc d’Arguin, DOI 10.1371/journal.pone.0094742: distinct 1991–2006 model family. Villanueva et al. (2004), An Ecopath model of the Sine-Saloum Delta biosphere reserve (Senegal): distinct 38-group estuarine model.</w:t>
            </w:r>
            <w:r>
              <w:t xml:space="preserve"> </w:t>
            </w:r>
            <w:hyperlink r:id="rId13">
              <w:r>
                <w:rPr>
                  <w:color w:val="0563C1"/>
                  <w:u w:val="single"/>
                </w:rPr>
                <w:t>2014 article</w:t>
              </w:r>
            </w:hyperlink>
            <w:r>
              <w:t xml:space="preserve"> | </w:t>
            </w:r>
            <w:hyperlink r:id="rId14">
              <w:r>
                <w:rPr>
                  <w:color w:val="0563C1"/>
                  <w:u w:val="single"/>
                </w:rPr>
                <w:t>Retained alternatives</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model</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27_118_Northwest_Africa_(1987); EcoBase accession 118, nominal 1987, 27 ecological groups plus synthetic diet_import. Broad Northwest African offshore ecosystem; reported area 3,561,029 km².</w:t>
            </w:r>
            <w:r>
              <w:t xml:space="preserve"> </w:t>
            </w:r>
            <w:hyperlink r:id="rId15">
              <w:r>
                <w:rPr>
                  <w:color w:val="0563C1"/>
                  <w:u w:val="single"/>
                </w:rPr>
                <w:t>Selected JSON</w:t>
              </w:r>
            </w:hyperlink>
            <w:r>
              <w:t xml:space="preserve"> | </w:t>
            </w:r>
            <w:hyperlink r:id="rId16">
              <w:r>
                <w:rPr>
                  <w:color w:val="0563C1"/>
                  <w:u w:val="single"/>
                </w:rPr>
                <w:t>Model folder</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Other models from the same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No additional temporal model from this exact final report is verified. The stored _1883ddd3 candidate is a separately archived identity, not a second source model. Banc d’Arguin/Mauritanian Shelf 1991 belongs to the separate Guénette source.</w:t>
            </w:r>
            <w:r>
              <w:t xml:space="preserve"> </w:t>
            </w:r>
            <w:hyperlink r:id="rId14">
              <w:r>
                <w:rPr>
                  <w:color w:val="0563C1"/>
                  <w:u w:val="single"/>
                </w:rPr>
                <w:t>Identity inventory</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Selection rationale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Article: ? (no separate article-choice rationale recorded). Model: user selected this available non-failing 1987 alternative over Banc d’Arguin/Mauritanian Shelf 1991, whose three configurations failed. The selected model remains scientifically provisional.</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Model extraction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Full final-2009 numerical fidelity cannot be verified from the preliminary report. Accepted canonical inputs retained. Existing runtime normalizes 40 diet cells (maximum change 0.0003601), uses default GS, derives detritus PB/QB and BA, and includes import 28. Detritus BA is 5934.4585 versus source 5934.798; partially routed whale flows become export.</w:t>
            </w:r>
            <w:r>
              <w:t xml:space="preserve"> </w:t>
            </w:r>
            <w:hyperlink r:id="rId12">
              <w:r>
                <w:rPr>
                  <w:color w:val="0563C1"/>
                  <w:u w:val="single"/>
                </w:rPr>
                <w:t>Source/runtime review</w:t>
              </w:r>
            </w:hyperlink>
            <w:r>
              <w:t xml:space="preserve"> | </w:t>
            </w:r>
            <w:hyperlink r:id="rId17">
              <w:r>
                <w:rPr>
                  <w:color w:val="0563C1"/>
                  <w:u w:val="single"/>
                </w:rPr>
                <w:t>Transformation ledger</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rPr>
              <w:t>WARN: strict model balance is not satisfied.</w:t>
            </w:r>
          </w:p>
          <w:p>
            <w:pPr>
              <w:spacing w:after="40" w:before="0" w:line="240" w:lineRule="auto"/>
            </w:pPr>
            <w:r>
              <w:rPr>
                <w:rFonts w:ascii="Calibri" w:hAnsi="Calibri"/>
                <w:sz w:val="21"/>
              </w:rPr>
              <w:t>No negative SPPR entries across the basal-source columns, including unfished groups.</w:t>
            </w:r>
          </w:p>
          <w:p>
            <w:pPr>
              <w:spacing w:after="40" w:before="0" w:line="240" w:lineRule="auto"/>
            </w:pPr>
            <w:r>
              <w:rPr>
                <w:rFonts w:ascii="Calibri" w:hAnsi="Calibri"/>
                <w:sz w:val="21"/>
              </w:rPr>
              <w:t>rho_living = 0.166159; b = 0.369408.</w:t>
            </w:r>
          </w:p>
          <w:p>
            <w:pPr>
              <w:spacing w:after="40" w:before="0" w:line="240" w:lineRule="auto"/>
            </w:pPr>
            <w:r>
              <w:rPr>
                <w:rFonts w:ascii="Calibri" w:hAnsi="Calibri"/>
                <w:sz w:val="21"/>
              </w:rPr>
              <w:t>Detritus (27): SPPR = 2.097498.</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rPr>
              <w:t>WARN: strict model balance is not satisfied.</w:t>
            </w:r>
          </w:p>
          <w:p>
            <w:pPr>
              <w:spacing w:after="40" w:before="0" w:line="240" w:lineRule="auto"/>
            </w:pPr>
            <w:r>
              <w:rPr>
                <w:rFonts w:ascii="Calibri" w:hAnsi="Calibri"/>
                <w:sz w:val="21"/>
              </w:rPr>
              <w:t>No negative SPPR entries across the basal-source columns, including unfished groups.</w:t>
            </w:r>
          </w:p>
          <w:p>
            <w:pPr>
              <w:spacing w:after="40" w:before="0" w:line="240" w:lineRule="auto"/>
            </w:pPr>
            <w:r>
              <w:rPr>
                <w:rFonts w:ascii="Calibri" w:hAnsi="Calibri"/>
                <w:sz w:val="21"/>
              </w:rPr>
              <w:t>rho_living = 0.990717.</w:t>
            </w:r>
          </w:p>
          <w:p>
            <w:pPr>
              <w:spacing w:after="40" w:before="0" w:line="240" w:lineRule="auto"/>
            </w:pPr>
            <w:r>
              <w:rPr>
                <w:rFonts w:ascii="Calibri" w:hAnsi="Calibri"/>
                <w:sz w:val="21"/>
              </w:rPr>
              <w:t>Detritus (27): SPPR = 1.608032.</w:t>
            </w:r>
          </w:p>
          <w:p>
            <w:pPr>
              <w:spacing w:after="40" w:before="0" w:line="240" w:lineRule="auto"/>
            </w:pPr>
            <w:r>
              <w:rPr>
                <w:rFonts w:ascii="Calibri" w:hAnsi="Calibri"/>
                <w:sz w:val="21"/>
              </w:rPr>
              <w:t>Coastal tunas (17) has near-zero efficiency; TE is near singular.</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SPPR calculation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 xml:space="preserve">[MANUAL — Researcher: calculation choices and reasons]</w:t>
            </w:r>
          </w:p>
          <w:p>
            <w:pPr>
              <w:spacing w:after="40" w:before="0" w:line="240" w:lineRule="auto"/>
            </w:pPr>
            <w:r>
              <w:rPr>
                <w:rFonts w:ascii="Calibri" w:hAnsi="Calibri"/>
                <w:sz w:val="21"/>
                <w:color w:val="000000"/>
              </w:rPr>
              <w:t xml:space="preserve">[Excluded groups, scope and relevant values; other adjustments]</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Geographic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Approximate A: 95–100% of the region covered by the study. B: 20–35% of the study inside the region.</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Temporal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Static 1987 coefficients and group-catch mixture proxies are applied across 1950–2019. The 2019 reference is 32 years later; publication 2009 does not update ecosystem conditions. Annual ecosystem change is not reconstructed.</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All configurations retain WARN and strict balance false. TE is near singular for Coastal tunas (17); ten whale/seabird groups have EE=0. With Egestion has no negative entries, rho_living=0.13292700, b=0.36946627, Detritus SPPR=2.09837460. Source-version, broad offshore-domain and assumed composition limits preclude production approval.</w:t>
            </w:r>
            <w:r>
              <w:t xml:space="preserve"> </w:t>
            </w:r>
            <w:hyperlink r:id="rId18">
              <w:r>
                <w:rPr>
                  <w:color w:val="0563C1"/>
                  <w:u w:val="single"/>
                </w:rPr>
                <w:t>Full matrix evidence</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Open issues and next 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open issues and next actions]</w:t>
              <w:br/>
              <w:t/>
              <w:br/>
              <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Review and reproducibility</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name: [name] | review date: [date]</w:t>
              <w:br/>
              <w:t/>
              <w:br/>
              <w:t/>
              <w:br/>
              <w:t/>
            </w:r>
          </w:p>
        </w:tc>
      </w:tr>
    </w:tbl>
    <w:p>
      <w:pPr>
        <w:keepNext/>
        <w:pageBreakBefore/>
        <w:spacing w:after="120"/>
      </w:pPr>
      <w:r>
        <w:rPr>
          <w:rFonts w:ascii="Calibri" w:hAnsi="Calibri"/>
          <w:b/>
          <w:color w:val="000000"/>
          <w:sz w:val="30"/>
        </w:rPr>
        <w:t>Taxon mapping and coverage</w:t>
      </w:r>
    </w:p>
    <w:p>
      <w:pPr>
        <w:keepNext w:val="0"/>
        <w:pageBreakBefore w:val="0"/>
        <w:spacing w:after="120"/>
      </w:pPr>
      <w:r>
        <w:t>Reference: 2019 landings; complete catch-label universe, including unidentified and zero catch; no group filter.</w:t>
      </w:r>
    </w:p>
    <w:p>
      <w:pPr>
        <w:keepNext w:val="0"/>
        <w:pageBreakBefore w:val="0"/>
        <w:spacing w:after="120"/>
      </w:pPr>
      <w:r>
        <w:t>27 source ecological groups (+1 computational import); 512 catch labels.</w:t>
      </w:r>
    </w:p>
    <w:p>
      <w:pPr>
        <w:keepNext w:val="0"/>
        <w:pageBreakBefore w:val="0"/>
        <w:spacing w:after="120"/>
      </w:pPr>
      <w:r>
        <w:t>Simple-chain PPR totals 244,709,206.37 t C in 2019.</w:t>
      </w:r>
    </w:p>
    <w:p>
      <w:pPr>
        <w:keepNext w:val="0"/>
        <w:pageBreakBefore w:val="0"/>
        <w:spacing w:after="120"/>
      </w:pPr>
      <w:r>
        <w:t>100 labels lack a saved classic coefficient/TL; all have zero 2019 landings and therefore zero annual PPR. Unavailable TL remains ?, not zero.</w:t>
      </w:r>
    </w:p>
    <w:p>
      <w:pPr>
        <w:keepNext w:val="0"/>
        <w:pageBreakBefore w:val="0"/>
        <w:spacing w:after="120"/>
      </w:pPr>
      <w:r>
        <w:t>Method: independent classic/simple trophic chain using the saved taxon coefficient.</w:t>
      </w:r>
    </w:p>
    <w:p>
      <w:pPr>
        <w:keepNext w:val="0"/>
        <w:pageBreakBefore w:val="0"/>
        <w:spacing w:after="120"/>
      </w:pPr>
      <w:hyperlink r:id="rId19">
        <w:r>
          <w:rPr>
            <w:color w:val="0563C1"/>
            <w:u w:val="single"/>
          </w:rPr>
          <w:t>Full taxon mapping appendix</w:t>
        </w:r>
      </w:hyperlink>
      <w:r>
        <w:t xml:space="preserve"> and </w:t>
      </w:r>
      <w:hyperlink r:id="rId20">
        <w:r>
          <w:rPr>
            <w:color w:val="0563C1"/>
            <w:u w:val="single"/>
          </w:rPr>
          <w:t>descriptive Sources sheet</w:t>
        </w:r>
      </w:hyperlink>
    </w:p>
    <w:tbl>
      <w:tblPr>
        <w:tblW w:type="auto" w:w="0"/>
        <w:tblLayout w:type="fixed"/>
        <w:tblLook w:firstColumn="1" w:firstRow="1" w:lastColumn="0" w:lastRow="0" w:noHBand="0" w:noVBand="1" w:val="04A0"/>
      </w:tblPr>
      <w:tblGrid>
        <w:gridCol w:w="3888"/>
        <w:gridCol w:w="1440"/>
        <w:gridCol w:w="2304"/>
        <w:gridCol w:w="2376"/>
      </w:tblGrid>
      <w:tr>
        <w:trPr>
          <w:tblHeader/>
          <w:cantSplit/>
          <w:tblHeader/>
          <w:cantSplit/>
        </w:trPr>
        <w:tc>
          <w:tcPr>
            <w:tcW w:type="dxa" w:w="3888"/>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Overall confidence</w:t>
            </w:r>
          </w:p>
        </w:tc>
        <w:tc>
          <w:tcPr>
            <w:tcW w:type="dxa" w:w="1440"/>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Taxa (n)</w:t>
            </w:r>
          </w:p>
        </w:tc>
        <w:tc>
          <w:tcPr>
            <w:tcW w:type="dxa" w:w="230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Catch (%)</w:t>
            </w:r>
          </w:p>
        </w:tc>
        <w:tc>
          <w:tcPr>
            <w:tcW w:type="dxa" w:w="2376"/>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Simple-chain PPR (%)</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High</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Medium</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476</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77%</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89%</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Low</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0.00020%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0.00020%</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Very low</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35</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23%</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11%</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Unresolved</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r>
    </w:tbl>
    <w:p>
      <w:pPr>
        <w:keepNext w:val="0"/>
        <w:pageBreakBefore w:val="0"/>
        <w:spacing w:after="120"/>
      </w:pPr>
      <w:r>
        <w:rPr>
          <w:rFonts w:ascii="Calibri" w:hAnsi="Calibri"/>
          <w:b w:val="0"/>
          <w:color w:val="000000"/>
          <w:sz w:val="21"/>
        </w:rPr>
        <w:t>The summary uses the weaker required membership or allocation confidence. The following tables show each component separately.</w:t>
      </w:r>
    </w:p>
    <w:p>
      <w:pPr>
        <w:keepNext/>
        <w:pageBreakBefore w:val="0"/>
        <w:spacing w:after="120"/>
      </w:pPr>
      <w:r>
        <w:rPr>
          <w:rFonts w:ascii="Calibri" w:hAnsi="Calibri"/>
          <w:b/>
          <w:color w:val="000000"/>
          <w:sz w:val="23"/>
        </w:rPr>
        <w:t>Group assignment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Named precursor membership transferred through the verified source-to-model crosswalk; final-source version unverified.</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66%</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Complete taxonomic/reporting candidate union; the caught species mixture is inferred.</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12%</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Taxonomic extension from actual precursor species, genera or family representatives.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12%</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Broad reporting category approximated over compatible source guilds; composition unknown.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11%</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Positive taxonomic or habitat analogue with an explicit source-pool mismatch.</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0.23%</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Actual bony members support the placement, but a contradictory source family label limits certainty.</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0.00020%</w:t>
            </w:r>
          </w:p>
        </w:tc>
      </w:tr>
    </w:tbl>
    <w:p>
      <w:pPr>
        <w:keepNext w:val="0"/>
        <w:pageBreakBefore w:val="0"/>
        <w:spacing w:after="120"/>
      </w:pPr>
      <w:r>
        <w:t xml:space="preserve">Membership evidence: </w:t>
      </w:r>
      <w:hyperlink r:id="rId21">
        <w:r>
          <w:rPr>
            <w:color w:val="0563C1"/>
            <w:u w:val="single"/>
          </w:rPr>
          <w:t>precursor members, taxonomy and candidate decisions</w:t>
        </w:r>
      </w:hyperlink>
      <w:r>
        <w:t xml:space="preserve"> Bony reporting excludes dedicated Sharks/Rays, while genuine mixed guilds remain eligible. Elasmobranchii excludes chimaeras; sawfish membership in groups 14/15 is retained.</w:t>
      </w:r>
      <w:r>
        <w:t xml:space="preserve"> Scaridae denotes the historical parrotfish family, now Scarinae within Labridae; the genus-misspelling homonym is excluded. </w:t>
      </w:r>
      <w:hyperlink r:id="rIdScaridaeRankBridge">
        <w:r>
          <w:rPr>
            <w:color w:val="0563C1"/>
            <w:u w:val="single"/>
          </w:rPr>
          <w:t>Scaridae rank bridge</w:t>
        </w:r>
      </w:hyperlink>
    </w:p>
    <w:p>
      <w:pPr>
        <w:keepNext/>
        <w:pageBreakBefore/>
        <w:spacing w:after="120"/>
      </w:pPr>
      <w:r>
        <w:rPr>
          <w:rFonts w:ascii="Calibri" w:hAnsi="Calibri"/>
          <w:b/>
          <w:color w:val="000000"/>
          <w:sz w:val="23"/>
        </w:rPr>
        <w:t>Allocation weight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One reviewed group; no numerical split.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72%</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Complete accepted 1987 group-export catch proportions; fixed historical composition assumed.</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28%</w:t>
            </w:r>
          </w:p>
        </w:tc>
      </w:tr>
    </w:tbl>
    <w:p>
      <w:pPr>
        <w:keepNext w:val="0"/>
        <w:pageBreakBefore w:val="0"/>
        <w:spacing w:after="120"/>
      </w:pPr>
      <w:r>
        <w:t xml:space="preserve">Each rule percentage uses the complete independent simple-chain PPR denominator, once per taxon. Weights and assumptions: all 49 multi-group labels use complete accepted 1987 model-export catches at Medium confidence, fixed across 1950–2019 and all catch bases; native fleet data and modern mixtures are unavailable. </w:t>
      </w:r>
      <w:hyperlink r:id="rId22">
        <w:r>
          <w:rPr>
            <w:color w:val="0563C1"/>
            <w:u w:val="single"/>
          </w:rPr>
          <w:t>Complete allocation evidence</w:t>
        </w:r>
      </w:hyperlink>
    </w:p>
    <w:p>
      <w:pPr>
        <w:keepNext w:val="0"/>
        <w:pageBreakBefore w:val="0"/>
        <w:spacing w:after="120"/>
      </w:pPr>
      <w:r>
        <w:t xml:space="preserve">No unresolved taxa remain. Very low: 35 labels, 22.5770% of landings and 11.1850% of classic PPR. Broad fish/invertebrate mixtures and unlisted habitat/taxonomic analogues retain explicit assumptions in the appendix. Centrolophidae is Low: named Schedophilus members support groups 12/18, while its contradictory Sharks-15 label remains unresolved. </w:t>
      </w:r>
      <w:r>
        <w:t xml:space="preserve">Separately, Marine fishes not identified contributes 20.47% of GE, 40.70% of TE and 20.58% of With Egestion model PPR. TE totals 1.946 billion t C; its extreme source coefficients are a diagnostic concern, not evidence of reliable food-web demand. </w:t>
      </w:r>
      <w:hyperlink r:id="rId23">
        <w:r>
          <w:rPr>
            <w:color w:val="0563C1"/>
            <w:u w:val="single"/>
          </w:rPr>
          <w:t>Method-specific contribution evidence</w:t>
        </w:r>
      </w:hyperlink>
    </w:p>
    <w:p>
      <w:pPr>
        <w:pStyle w:val="Heading2"/>
      </w:pPr>
      <w:r>
        <w:t>Very low decisions</w:t>
      </w:r>
    </w:p>
    <w:tbl>
      <w:tblPr>
        <w:tblW w:type="auto" w:w="0"/>
        <w:jc w:val="center"/>
        <w:tblLayout w:type="fixed"/>
        <w:tblLook w:firstColumn="1" w:firstRow="1" w:lastColumn="0" w:lastRow="0" w:noHBand="0" w:noVBand="1" w:val="04A0"/>
      </w:tblPr>
      <w:tblGrid>
        <w:gridCol w:w="3298"/>
        <w:gridCol w:w="6710"/>
      </w:tblGrid>
      <w:tr>
        <w:trPr>
          <w:cantSplit/>
          <w:tblHeader/>
        </w:trPr>
        <w:tc>
          <w:tcPr>
            <w:tcW w:type="dxa" w:w="3298"/>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Affected taxa</w:t>
            </w:r>
          </w:p>
        </w:tc>
        <w:tc>
          <w:tcPr>
            <w:tcW w:type="dxa" w:w="6710"/>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Why confidence is very low</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Actinopterygii; Marine finfishes not identified; Marine 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Unknown bony-fish composition is approximated across named coastal/offshore and mixed fish guilds; dedicated Sharks/Rays are excluded. Accepted 1987 model catches proxy the mixture, assumed fixed across 1950–2019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Scombroidei</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Source scombrid members span Large pelagics, Coastal tunas and Other coastal pelagics, but historical Scombroidei reporting breadth and the caught mixture are uncertain. Accepted 1987 catches proxy fixed proportions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Anguilla anguilla; Anguilliformes; Branchiostegus; Citharus linguatula; Echelus myrus; Heteropriacanthus cruentatus; Kyphosus sectatrix; Priacanthidae; Priacanthus; Priacanthus arenatus; Psettodes belcheri; Psettodes bennettii; Psettodidae; Sarotherodon melanotheron; Uranoscopus; Uranoscopus scaber</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Not listed in the source. Coastal demersal is the mixed-guild analogue through flatfish, reef fishes, catfish and morays; taxonomic, depth and marine/brackish or diadromous differences remain unverified. Assigned wholly to that group.</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Epigonus telescopus; Peristediidae; Polymixia nobilis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Not listed in the source. Bathydeersal predators is the habitat analogue through hake, Phycis and macrourids; taxonomic/depth differences remain unverified. Assigned wholly to that group.</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Lepas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Crustaceans provides the taxonomic analogue through decapods, but attached epipelagic barnacles differ in habitat/body form. No cirripede compartment exists; Benthos and free Zooplankton are weaker alternatives. Assigned wholly to Crustaceans.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Perciformes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Historical reporting spans heterogeneous percomorphs across five fish guilds; modern order changes and the actual mixture are uncertain. Dedicated clupeids, tunas and cartilage pools are excluded. Accepted 1987 catches proxy fixed proportions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Marine pelagic 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Unknown pelagic composition spans named pelagic pools and the mixed Coastal demersal guild through its pelagic-associated members. Bathydemersal and dedicated cartilage pools are excluded. Accepted 1987 group-catch proportions remain fixed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Miscellaneous marine crustaceans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The broad reported macrocrustacean category fits source decapod shrimps, crabs and lobsters, but its actual species mixture is unknown. Copepod Zooplankton is excluded. Assigned wholly to Crustaceans.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Megalops atlanticus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Not listed in the source. Large pelagics is the mobile-fish analogue through Coryphaena, tunas and billfish; taxonomic and diadromous differences remain unverified. Assigned wholly to that group.</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Miscellaneous aquatic invertebrates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Unknown composition spans Cephalopods, Crustaceans, Benthos and Zooplankton, including Hydrozoa/Scyphozoa; fish eggs/larvae and other pooled members cause mismatch. Accepted 1987 group catches proxy a fixed mixture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Marine groundfishes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Unknown groundfish composition spans groups 13/14/18, including the source-listed demersal Mora moro. Mixed pelagic and cartilaginous members create pooling mismatch. Accepted 1987 group catches proxy the mixture across all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Echinoidea; Holothuroidea; Paracentrotus lividus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Echinoderms are absent from the printed members. Benthos is the weak bottom-invertebrate analogue through bivalves, gastropods and Anthozoa; cephalopods and crustaceans are separate pools. Assigned wholly to Benthos.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Alepisaurus ferox</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Not listed in the source. Mesopelagic predators is the habitat analogue through Maurolicus, Myctophum and Micromesistius; taxonomic/depth differences are unverified. Assigned wholly to that group.</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Inermiidae</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Not listed in the source. Other coastal pelagics is the habitat analogue through jacks, mackerels and needlefish; taxonomic/depth differences remain unverified. Assigned wholly to that group.</w:t>
            </w:r>
          </w:p>
        </w:tc>
      </w:tr>
    </w:tbl>
    <w:p>
      <w:pPr>
        <w:pStyle w:val="Title"/>
        <w:pageBreakBefore/>
        <w:keepNext/>
        <w:pageBreakBefore/>
      </w:pPr>
      <w:r>
        <w:t>Geographic evidence screenshots</w:t>
      </w:r>
    </w:p>
    <w:p>
      <w:pPr>
        <w:spacing w:after="40" w:before="0" w:line="240" w:lineRule="auto"/>
      </w:pPr>
      <w:r>
        <w:t>Target R is the shelf LME; study S is the broader offshore ecosystem. Bounds-based marine reconstructions bracket source-version ambiguity; these are coarse geographic approximations, not exact author polygons or statistical intervals.</w:t>
      </w:r>
    </w:p>
    <w:p>
      <w:pPr>
        <w:pStyle w:val="Heading2"/>
        <w:keepNext/>
      </w:pPr>
      <w:r>
        <w:t>Region area</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Northwest African Shelf target region</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
              <w:drawing>
                <wp:inline xmlns:a="http://schemas.openxmlformats.org/drawingml/2006/main" xmlns:pic="http://schemas.openxmlformats.org/drawingml/2006/picture">
                  <wp:extent cx="4572000" cy="4235824"/>
                  <wp:docPr id="1" name="Picture 1"/>
                  <wp:cNvGraphicFramePr>
                    <a:graphicFrameLocks noChangeAspect="1"/>
                  </wp:cNvGraphicFramePr>
                  <a:graphic>
                    <a:graphicData uri="http://schemas.openxmlformats.org/drawingml/2006/picture">
                      <pic:pic>
                        <pic:nvPicPr>
                          <pic:cNvPr id="0" name="target_region.png"/>
                          <pic:cNvPicPr/>
                        </pic:nvPicPr>
                        <pic:blipFill>
                          <a:blip r:embed="rId24"/>
                          <a:stretch>
                            <a:fillRect/>
                          </a:stretch>
                        </pic:blipFill>
                        <pic:spPr>
                          <a:xfrm>
                            <a:off x="0" y="0"/>
                            <a:ext cx="4572000" cy="4235824"/>
                          </a:xfrm>
                          <a:prstGeom prst="rect"/>
                        </pic:spPr>
                      </pic:pic>
                    </a:graphicData>
                  </a:graphic>
                </wp:inline>
              </w:drawing>
            </w:r>
          </w:p>
        </w:tc>
      </w:tr>
    </w:tbl>
    <w:p>
      <w:pPr>
        <w:spacing w:after="40" w:before="0" w:line="240" w:lineRule="auto"/>
      </w:pPr>
      <w:r>
        <w:t xml:space="preserve">Sea Around Us LME 27 target R: 1,123,612 km². </w:t>
      </w:r>
      <w:r>
        <w:t xml:space="preserve"> </w:t>
      </w:r>
      <w:hyperlink r:id="rId26">
        <w:r>
          <w:rPr>
            <w:color w:val="0563C1"/>
            <w:u w:val="single"/>
          </w:rPr>
          <w:t>Target boundary</w:t>
        </w:r>
      </w:hyperlink>
      <w:r>
        <w:t xml:space="preserve"> | </w:t>
      </w:r>
      <w:hyperlink r:id="rId27">
        <w:r>
          <w:rPr>
            <w:color w:val="0563C1"/>
            <w:u w:val="single"/>
          </w:rPr>
          <w:t>Map image</w:t>
        </w:r>
      </w:hyperlink>
    </w:p>
    <w:p>
      <w:pPr>
        <w:pStyle w:val="Heading2"/>
        <w:keepNext/>
        <w:pageBreakBefore/>
      </w:pPr>
      <w:r>
        <w:t>Study area in the article</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Inherited and preliminary source-bound reconstructions</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
              <w:drawing>
                <wp:inline xmlns:a="http://schemas.openxmlformats.org/drawingml/2006/main" xmlns:pic="http://schemas.openxmlformats.org/drawingml/2006/picture">
                  <wp:extent cx="4572000" cy="4235824"/>
                  <wp:docPr id="2" name="Picture 2"/>
                  <wp:cNvGraphicFramePr>
                    <a:graphicFrameLocks noChangeAspect="1"/>
                  </wp:cNvGraphicFramePr>
                  <a:graphic>
                    <a:graphicData uri="http://schemas.openxmlformats.org/drawingml/2006/picture">
                      <pic:pic>
                        <pic:nvPicPr>
                          <pic:cNvPr id="0" name="comparison.png"/>
                          <pic:cNvPicPr/>
                        </pic:nvPicPr>
                        <pic:blipFill>
                          <a:blip r:embed="rId25"/>
                          <a:stretch>
                            <a:fillRect/>
                          </a:stretch>
                        </pic:blipFill>
                        <pic:spPr>
                          <a:xfrm>
                            <a:off x="0" y="0"/>
                            <a:ext cx="4572000" cy="4235824"/>
                          </a:xfrm>
                          <a:prstGeom prst="rect"/>
                        </pic:spPr>
                      </pic:pic>
                    </a:graphicData>
                  </a:graphic>
                </wp:inline>
              </w:drawing>
            </w:r>
          </w:p>
        </w:tc>
      </w:tr>
    </w:tbl>
    <w:p>
      <w:pPr>
        <w:spacing w:after="40" w:before="0" w:line="240" w:lineRule="auto"/>
      </w:pPr>
      <w:r>
        <w:t xml:space="preserve">EcoBase 118 extent and 2008 preliminary bounds differ in longitude. Marine reconstructed domains are about 3.43 and 5.08 million km², with A about 99% and B about 22–33%. The reported model area is a separate 3.56 million km² quantity. The broad 95–100% / 20–35% ranges reflect boundary/version uncertainty. </w:t>
      </w:r>
      <w:r>
        <w:t xml:space="preserve"> </w:t>
      </w:r>
      <w:hyperlink r:id="rId28">
        <w:r>
          <w:rPr>
            <w:color w:val="0563C1"/>
            <w:u w:val="single"/>
          </w:rPr>
          <w:t>Geographic assessment</w:t>
        </w:r>
      </w:hyperlink>
      <w:r>
        <w:t xml:space="preserve"> | </w:t>
      </w:r>
      <w:hyperlink r:id="rId29">
        <w:r>
          <w:rPr>
            <w:color w:val="0563C1"/>
            <w:u w:val="single"/>
          </w:rPr>
          <w:t>Portable reconstruction</w:t>
        </w:r>
      </w:hyperlink>
    </w:p>
    <w:p>
      <w:pPr>
        <w:pageBreakBefore/>
        <w:spacing w:after="40" w:before="0" w:line="240" w:lineRule="auto"/>
      </w:pPr>
      <w:r>
        <w:t xml:space="preserve">Original 2008 preliminary Figure 1, PDF 29 (caption PDF 28), rather than the unavailable final-2009 figure. Panel A shows global project areas; panel B shows Northwest African bounds of 8.5–36°N, 30–6.5°W. </w:t>
      </w:r>
      <w:hyperlink r:id="rId30">
        <w:r>
          <w:rPr>
            <w:color w:val="0563C1"/>
            <w:u w:val="single"/>
          </w:rPr>
          <w:t>Preliminary source figure</w:t>
        </w:r>
      </w:hyperlink>
      <w:r>
        <w:br/>
      </w:r>
      <w:r>
        <w:drawing>
          <wp:inline xmlns:a="http://schemas.openxmlformats.org/drawingml/2006/main" xmlns:pic="http://schemas.openxmlformats.org/drawingml/2006/picture">
            <wp:extent cx="4114800" cy="5325035"/>
            <wp:docPr id="3" name="Picture 3"/>
            <wp:cNvGraphicFramePr>
              <a:graphicFrameLocks noChangeAspect="1"/>
            </wp:cNvGraphicFramePr>
            <a:graphic>
              <a:graphicData uri="http://schemas.openxmlformats.org/drawingml/2006/picture">
                <pic:pic>
                  <pic:nvPicPr>
                    <pic:cNvPr id="0" name="source_figure1_page29.png"/>
                    <pic:cNvPicPr/>
                  </pic:nvPicPr>
                  <pic:blipFill>
                    <a:blip r:embed="rId31"/>
                    <a:stretch>
                      <a:fillRect/>
                    </a:stretch>
                  </pic:blipFill>
                  <pic:spPr>
                    <a:xfrm>
                      <a:off x="0" y="0"/>
                      <a:ext cx="4114800" cy="5325035"/>
                    </a:xfrm>
                    <a:prstGeom prst="rect"/>
                  </pic:spPr>
                </pic:pic>
              </a:graphicData>
            </a:graphic>
          </wp:inline>
        </w:drawing>
      </w:r>
    </w:p>
    <w:sectPr w:rsidR="00FC693F" w:rsidRPr="0006063C" w:rsidSect="00034616">
      <w:type w:val="nextPage"/>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Validation1" Type="http://schemas.openxmlformats.org/officeDocument/2006/relationships/hyperlink" Target="[Excel_appendix.xlsx]" TargetMode="External"/><Relationship Id="rId9" Type="http://schemas.openxmlformats.org/officeDocument/2006/relationships/hyperlink" Target="LME_027.xlsx" TargetMode="External"/><Relationship Id="rId10" Type="http://schemas.openxmlformats.org/officeDocument/2006/relationships/hyperlink" Target="raw" TargetMode="External"/><Relationship Id="rId11" Type="http://schemas.openxmlformats.org/officeDocument/2006/relationships/hyperlink" Target="papers/CAN-2009/Morissette_2008_preliminary.pdf" TargetMode="External"/><Relationship Id="rId12" Type="http://schemas.openxmlformats.org/officeDocument/2006/relationships/hyperlink" Target="validation_reports/27_118_Northwest_Africa_%281987%29/source_review.md" TargetMode="External"/><Relationship Id="rId13" Type="http://schemas.openxmlformats.org/officeDocument/2006/relationships/hyperlink" Target="https://doi.org/10.1371/journal.pone.0094742" TargetMode="External"/><Relationship Id="rId14" Type="http://schemas.openxmlformats.org/officeDocument/2006/relationships/hyperlink" Target="validation_reports/27_118_Northwest_Africa_%281987%29/material_identity.json" TargetMode="External"/><Relationship Id="rId15" Type="http://schemas.openxmlformats.org/officeDocument/2006/relationships/hyperlink" Target="models/27_118_Northwest_Africa_%281987%29/model.json" TargetMode="External"/><Relationship Id="rId16" Type="http://schemas.openxmlformats.org/officeDocument/2006/relationships/hyperlink" Target="models/27_118_Northwest_Africa_%281987%29" TargetMode="External"/><Relationship Id="rId17" Type="http://schemas.openxmlformats.org/officeDocument/2006/relationships/hyperlink" Target="models/27_118_Northwest_Africa_%281987%29/integration_20260928/transformation_ledger.json" TargetMode="External"/><Relationship Id="rId18" Type="http://schemas.openxmlformats.org/officeDocument/2006/relationships/hyperlink" Target="validation_reports/27_118_Northwest_Africa_%281987%29/matrix_inspection.json" TargetMode="External"/><Relationship Id="rId19" Type="http://schemas.openxmlformats.org/officeDocument/2006/relationships/hyperlink" Target="LME027_taxon_mapping_appendix.xlsx" TargetMode="External"/><Relationship Id="rId20" Type="http://schemas.openxmlformats.org/officeDocument/2006/relationships/hyperlink" Target="LME027_taxon_mapping_appendix.xlsx#Sources%21A1" TargetMode="External"/><Relationship Id="rId21" Type="http://schemas.openxmlformats.org/officeDocument/2006/relationships/hyperlink" Target="validation_reports/27_118_Northwest_Africa_%281987%29/source_review.md#membership-and-reporting-scope" TargetMode="External"/><Relationship Id="rId22" Type="http://schemas.openxmlformats.org/officeDocument/2006/relationships/hyperlink" Target="validation_reports/27_118_Northwest_Africa_%281987%29/allocation_evidence.json" TargetMode="External"/><Relationship Id="rId23" Type="http://schemas.openxmlformats.org/officeDocument/2006/relationships/hyperlink" Target="validation_reports/27_118_Northwest_Africa_%281987%29/method_contribution_exposure.json" TargetMode="External"/><Relationship Id="rId24" Type="http://schemas.openxmlformats.org/officeDocument/2006/relationships/image" Target="media/image1.png"/><Relationship Id="rId25" Type="http://schemas.openxmlformats.org/officeDocument/2006/relationships/image" Target="media/image2.png"/><Relationship Id="rId26" Type="http://schemas.openxmlformats.org/officeDocument/2006/relationships/hyperlink" Target="validation_reports/27_118_Northwest_Africa_%281987%29/geography/target_region.geojson" TargetMode="External"/><Relationship Id="rId27" Type="http://schemas.openxmlformats.org/officeDocument/2006/relationships/hyperlink" Target="validation_reports/27_118_Northwest_Africa_%281987%29/geography/target_region.png" TargetMode="External"/><Relationship Id="rId28" Type="http://schemas.openxmlformats.org/officeDocument/2006/relationships/hyperlink" Target="validation_reports/27_118_Northwest_Africa_%281987%29/geography/geographic_assessment.json" TargetMode="External"/><Relationship Id="rId29" Type="http://schemas.openxmlformats.org/officeDocument/2006/relationships/hyperlink" Target="validation_reports/27_118_Northwest_Africa_%281987%29/geography/study_area_reconstructed.geojson" TargetMode="External"/><Relationship Id="rId30" Type="http://schemas.openxmlformats.org/officeDocument/2006/relationships/hyperlink" Target="papers/CAN-2009/Morissette_2008_preliminary.pdf#page=29" TargetMode="External"/><Relationship Id="rId31" Type="http://schemas.openxmlformats.org/officeDocument/2006/relationships/image" Target="media/image3.png"/><Relationship Id="rIdScaridaeRankBridge" Type="http://schemas.openxmlformats.org/officeDocument/2006/relationships/hyperlink" Target="validation_reports/27_118_Northwest_Africa_%281987%29/taxonomy_rank_followup/primary_authority_verification.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