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Gulf of Thailand model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tblHeader/>
          <w:tblHeader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>Entry</w:t>
            </w:r>
          </w:p>
        </w:tc>
      </w:tr>
      <w:tr>
        <w:trPr/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Gulf of Thailand, LME_035; source 10–50 m shelf applied across the whole LME.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/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 xml:space="preserve">Sea Around Us v50.1; local 1950–2019 catch; reference: 2019 landings. </w:t>
            </w:r>
            <w:hyperlink r:id="rId10">
              <w:r>
                <w:rPr>
                  <w:color w:val="0563C1"/>
                  <w:u w:val="single"/>
                </w:rPr>
                <w:t>Original catch</w:t>
              </w:r>
            </w:hyperlink>
          </w:p>
        </w:tc>
      </w:tr>
      <w:tr>
        <w:trPr/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Christensen, V. (1998). Fishery-induced changes in a marine ecosystem: insight from models of the Gulf of Thailand. Journal of Fish Biology 53 (Suppl. A): 128–142. Author full HTML read; original PDF unavailable.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Author full text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Retained source facts</w:t>
              </w:r>
            </w:hyperlink>
          </w:p>
        </w:tc>
      </w:tr>
      <w:tr>
        <w:trPr/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Pauly &amp; Christensen (1993), Stratified models of large marine ecosystems: application to the South China Sea — acknowledged 10–50 m Gulf predecessor. Vibunpant et al. (2003), Trophic model of the coastal fisheries ecosystem in the Gulf of Thailand — separate 40-group 1973 model. Premcharoen (2012), Mae Klong estuary — subregional alternative.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1993 predecessor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1973 source</w:t>
              </w:r>
            </w:hyperlink>
            <w:r>
              <w:t xml:space="preserve"> | </w:t>
            </w:r>
            <w:hyperlink r:id="rId16">
              <w:r>
                <w:rPr>
                  <w:color w:val="0563C1"/>
                  <w:u w:val="single"/>
                </w:rPr>
                <w:t>Estuary source</w:t>
              </w:r>
            </w:hyperlink>
          </w:p>
        </w:tc>
      </w:tr>
      <w:tr>
        <w:trPr/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35_412_Gulf_of_Thailande_(1963); scientific payload 1980 despite inherited 1963 filename. EcoBase 412 description and all 11 Table II biomass comparisons identify 1980. 29 source ecological groups (+1 computational import); 10–50 m shelf.</w:t>
            </w:r>
            <w:r>
              <w:t xml:space="preserve"> </w:t>
            </w:r>
            <w:hyperlink r:id="rId17">
              <w:r>
                <w:rPr>
                  <w:color w:val="0563C1"/>
                  <w:u w:val="single"/>
                </w:rPr>
                <w:t>Canonical model</w:t>
              </w:r>
            </w:hyperlink>
            <w:r>
              <w:t xml:space="preserve"> | </w:t>
            </w:r>
            <w:hyperlink r:id="rId18">
              <w:r>
                <w:rPr>
                  <w:color w:val="0563C1"/>
                  <w:u w:val="single"/>
                </w:rPr>
                <w:t>Identity evidence</w:t>
              </w:r>
            </w:hyperlink>
          </w:p>
        </w:tc>
      </w:tr>
      <w:tr>
        <w:trPr/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 compares 1963 and 1980 baselines. Selected canonical file contains 1980; a separate verified complete 1963 parameter/diet set is not supplied. 1993 predecessor and 1973 candidate have different group structures.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 — ?</w:t>
              <w:br/>
              <w:t>Model — Retained selected EcoBase 412 payload; independent identity evidence establishes 1980. Whole-LME/year application remains provisional; scientific approval is not established by finite coefficients.</w:t>
            </w:r>
          </w:p>
        </w:tc>
      </w:tr>
      <w:tr>
        <w:trPr/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Available source identity, habitat, illustrative membership and 11 biomasses were checked. Complete published B/PB/QB/EE/diet inputs are unavailable. Accepted canonical export, BA, diet, routing and runtime settings are retained; exact loaded groups agree. Zero juvenile exports are canonical values, not observed regional stage catches.</w:t>
            </w:r>
            <w:r>
              <w:t xml:space="preserve"> </w:t>
            </w:r>
            <w:hyperlink r:id="rId19">
              <w:r>
                <w:rPr>
                  <w:color w:val="0563C1"/>
                  <w:u w:val="single"/>
                </w:rPr>
                <w:t>Source limitations</w:t>
              </w:r>
            </w:hyperlink>
            <w:r>
              <w:t xml:space="preserve"> | </w:t>
            </w:r>
            <w:hyperlink r:id="rId20">
              <w:r>
                <w:rPr>
                  <w:color w:val="0563C1"/>
                  <w:u w:val="single"/>
                </w:rPr>
                <w:t>Loaded proof</w:t>
              </w:r>
            </w:hyperlink>
          </w:p>
        </w:tc>
      </w:tr>
      <w:tr>
        <w:trPr/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 xml:space="preserve">WARN: Jellyfish (18) and M. mammals (1) have EE = 0.</w:t>
            </w:r>
          </w:p>
          <w:p>
            <w:pPr>
              <w:spacing w:after="40" w:before="0" w:line="240" w:lineRule="auto"/>
            </w:pPr>
            <w:r>
              <w:t xml:space="preserve">No negative SPPR entries across the basal-source columns.</w:t>
            </w:r>
          </w:p>
          <w:p>
            <w:pPr>
              <w:spacing w:after="40" w:before="0" w:line="240" w:lineRule="auto"/>
            </w:pPr>
            <w:r>
              <w:t xml:space="preserve">rho_living = 0.2400</w:t>
            </w:r>
          </w:p>
          <w:p>
            <w:pPr>
              <w:spacing w:after="40" w:before="0" w:line="240" w:lineRule="auto"/>
            </w:pPr>
            <w:r>
              <w:t xml:space="preserve">b = 0.2712</w:t>
            </w:r>
          </w:p>
          <w:p>
            <w:pPr>
              <w:spacing w:after="40" w:before="0" w:line="240" w:lineRule="auto"/>
            </w:pPr>
            <w:r>
              <w:t xml:space="preserve">Detritus (29): SPPR = 2.5802</w:t>
            </w:r>
          </w:p>
        </w:tc>
      </w:tr>
      <w:tr>
        <w:trPr/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 xml:space="preserve">WARN: Jellyfish (18) and M. mammals (1) have EE = 0.</w:t>
            </w:r>
          </w:p>
          <w:p>
            <w:pPr>
              <w:spacing w:after="40" w:before="0" w:line="240" w:lineRule="auto"/>
            </w:pPr>
            <w:r>
              <w:t xml:space="preserve">No negative SPPR entries across the basal-source columns.</w:t>
            </w:r>
          </w:p>
          <w:p>
            <w:pPr>
              <w:spacing w:after="40" w:before="0" w:line="240" w:lineRule="auto"/>
            </w:pPr>
            <w:r>
              <w:t xml:space="preserve">rho_living = 0.6142</w:t>
            </w:r>
          </w:p>
          <w:p>
            <w:pPr>
              <w:spacing w:after="40" w:before="0" w:line="240" w:lineRule="auto"/>
            </w:pPr>
            <w:r>
              <w:t xml:space="preserve">Detritus (29): SPPR = 0.6600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  <w:tr>
        <w:trPr/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 xml:space="preserve">A. Region covered by the focal 10–50 m study: not determined.</w:t>
            </w:r>
          </w:p>
          <w:p>
            <w:pPr>
              <w:spacing w:after="40" w:before="0" w:line="240" w:lineRule="auto"/>
            </w:pPr>
            <w:r>
              <w:t xml:space="preserve">B. Focal study area covered by the region: not determined.</w:t>
            </w:r>
          </w:p>
          <w:p>
            <w:pPr>
              <w:spacing w:after="40" w:before="0" w:line="240" w:lineRule="auto"/>
            </w:pPr>
            <w:r>
              <w:t xml:space="preserve">The original focal boundary is unavailable; the contextual estimates are shown with the figures below.</w:t>
            </w:r>
          </w:p>
        </w:tc>
      </w:tr>
      <w:tr>
        <w:trPr/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Static 1980 coefficients and fixed composition/stage proxies apply across 1950–2019 whole-LME catches; reference 2019 is 39 years later. Source shelf and reporting-population differences are not reconstructed annual ecosystem dynamics.</w:t>
            </w:r>
          </w:p>
        </w:tc>
      </w:tr>
      <w:tr>
        <w:trPr/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GE, TE and With Egestion remain WARN. TE repairs consumed-production routing for two EE = 0 groups (marine mammals, jellyfish) under accepted runtime settings. All 270 direct source entries are finite/nonnegative, including unfished groups; six symbolic methods remain failed. Source fidelity and spatial/temporal application limits remain.</w:t>
            </w:r>
            <w:r>
              <w:t xml:space="preserve"> </w:t>
            </w:r>
            <w:hyperlink r:id="rId20">
              <w:r>
                <w:rPr>
                  <w:color w:val="0563C1"/>
                  <w:u w:val="single"/>
                </w:rPr>
                <w:t>Full diagnostics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r>
        <w:br w:type="page"/>
      </w:r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 xml:space="preserve">Reference: 2019 landings; all taxon labels, including zero catch and unidentified categories; no group filter.</w:t>
      </w:r>
    </w:p>
    <w:p>
      <w:pPr>
        <w:keepNext w:val="0"/>
        <w:pageBreakBefore w:val="0"/>
        <w:spacing w:after="120"/>
      </w:pPr>
      <w:r>
        <w:t xml:space="preserve">29 source ecological groups (+1 computational import); 247 catch taxa.</w:t>
      </w:r>
    </w:p>
    <w:p>
      <w:pPr>
        <w:keepNext w:val="0"/>
        <w:pageBreakBefore w:val="0"/>
        <w:spacing w:after="120"/>
      </w:pPr>
      <w:r>
        <w:t>Simple-chain PPR totals 192,544,832.38 t C in 2019.</w:t>
      </w:r>
    </w:p>
    <w:p>
      <w:pPr>
        <w:keepNext w:val="0"/>
        <w:pageBreakBefore w:val="0"/>
        <w:spacing w:after="120"/>
      </w:pPr>
      <w:r>
        <w:t xml:space="preserve">33 labels lack a classic TL/coefficient; all have zero 2019 landings and contribute zero annual PPR.</w:t>
      </w:r>
    </w:p>
    <w:p>
      <w:pPr>
        <w:keepNext w:val="0"/>
        <w:pageBreakBefore w:val="0"/>
        <w:spacing w:after="120"/>
      </w:pPr>
      <w:r>
        <w:t xml:space="preserve">Method: independent simple trophic chain.</w:t>
      </w:r>
    </w:p>
    <w:p>
      <w:pPr>
        <w:keepNext w:val="0"/>
        <w:pageBreakBefore w:val="0"/>
        <w:spacing w:after="120"/>
      </w:pPr>
      <w:hyperlink r:id="rId21">
        <w:r>
          <w:rPr>
            <w:color w:val="0563C1"/>
            <w:u w:val="single"/>
          </w:rPr>
          <w:t>All taxon mappings</w:t>
        </w:r>
      </w:hyperlink>
      <w:r>
        <w:t xml:space="preserve"> and </w:t>
      </w:r>
      <w:hyperlink r:id="rId22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Taxa (n)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Catch (%)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Simple-chain PPR (%)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99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51%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33%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103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27%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45%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11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8.7%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11%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34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13%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12%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 xml:space="preserve">Overall confidence uses the weaker required membership or allocation component.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coastal/guild or historical ecological extension.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Unambiguous documented generic taxonomic group fit.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Explicit focal source taxon or genus assignment.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19%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Assumed complete eligible family or suborder set.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reporting category approximated over compatible pools.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Related-member extension from source representatives.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6.0%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source spelling or historical-name bridge.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0.27%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Closest represented analogue with material source mismatches.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0.27%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Partial or competing ecological/taxonomic fit.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0.056%</w:t>
            </w:r>
          </w:p>
        </w:tc>
      </w:tr>
    </w:tbl>
    <w:p>
      <w:pPr>
        <w:keepNext w:val="0"/>
        <w:pageBreakBefore w:val="0"/>
        <w:spacing w:after="120"/>
      </w:pPr>
      <w:r>
        <w:t xml:space="preserve">Membership evidence: </w:t>
      </w:r>
      <w:hyperlink r:id="rId13">
        <w:r>
          <w:rPr>
            <w:color w:val="0563C1"/>
            <w:u w:val="single"/>
          </w:rPr>
          <w:t>Christensen (1998), p.130 and model identity</w:t>
        </w:r>
      </w:hyperlink>
      <w:r>
        <w:t xml:space="preserve">, </w:t>
      </w:r>
      <w:hyperlink r:id="rId23">
        <w:r>
          <w:rPr>
            <w:color w:val="0563C1"/>
            <w:u w:val="single"/>
          </w:rPr>
          <w:t>Pauly &amp; Christensen (1993), Table 2</w:t>
        </w:r>
      </w:hyperlink>
      <w:r>
        <w:t xml:space="preserve"> and </w:t>
      </w:r>
      <w:hyperlink r:id="rId24">
        <w:r>
          <w:rPr>
            <w:color w:val="0563C1"/>
            <w:u w:val="single"/>
          </w:rPr>
          <w:t>all taxon decisions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reviewed group receives 100%; no split.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66%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Complete 1980 canonical export proportions, including zero candidates.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23%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Retained historical identified-catch proxy with population mismatch.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10%</w:t>
            </w:r>
          </w:p>
        </w:tc>
      </w:tr>
    </w:tbl>
    <w:p>
      <w:pPr>
        <w:keepNext w:val="0"/>
        <w:pageBreakBefore w:val="0"/>
        <w:spacing w:after="120"/>
      </w:pPr>
      <w:r>
        <w:t xml:space="preserve">Each percentage is the independent simple-chain PPR associated with taxa using that rule. The 1980 model-catch proportions, including zero candidates, are fixed composition proxies. Historical identified-catch proxies remain Low because donor populations and gear differ. </w:t>
      </w:r>
      <w:hyperlink r:id="rId25">
        <w:r>
          <w:rPr>
            <w:color w:val="0563C1"/>
            <w:u w:val="single"/>
          </w:rPr>
          <w:t>Weights and donor evidence</w:t>
        </w:r>
      </w:hyperlink>
    </w:p>
    <w:p>
      <w:pPr>
        <w:keepNext w:val="0"/>
        <w:pageBreakBefore w:val="0"/>
        <w:spacing w:after="120"/>
      </w:pPr>
      <w:r>
        <w:t xml:space="preserve">Unresolved taxa: none. The 34 Very low decisions cover 12.9493% of landings and 12.0040% of simple-chain PPR. Their specific uncertainties appear below. Very low decisions contribute 14.12% of GE, 12.01% of TE and 13.86% of With Egestion all-source PPR; Carangidae alone contributes 7.93% of GE. </w:t>
      </w:r>
      <w:hyperlink r:id="rId26">
        <w:r>
          <w:rPr>
            <w:color w:val="0563C1"/>
            <w:u w:val="single"/>
          </w:rPr>
          <w:t>Method-specific exposure</w:t>
        </w:r>
      </w:hyperlink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 xml:space="preserve">Very low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6710"/>
      </w:tblGrid>
      <w:tr>
        <w:trPr>
          <w:cantSplit/>
          <w:tblHeader/>
        </w:trPr>
        <w:tc>
          <w:tcPr>
            <w:tcW w:type="dxa" w:w="3298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Affected taxa</w:t>
            </w:r>
          </w:p>
        </w:tc>
        <w:tc>
          <w:tcPr>
            <w:tcW w:type="dxa" w:w="6710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Why confidence is very low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Carangidae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Scad explicitly includes Decapterus; larger predators use the large-piscivore stage pair as an analogue. The reported jacks/pompanos mixture is unknown. Model-catch proportions assume fixed 1980 composition.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Marine fishes not identified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Unidentified bony fish may span named, residual and juvenile pools. Separate reported categories do not establish exclusions; species and stage composition is unknown. Model-catch proportions are a fixed 1980 proxy.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Serranidae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The historical basses/groupers category includes Epinephelus, now Epinephelidae, while other basses are unlisted. The grouper/snapper stage union is a proxy for an unresolved taxonomic and feeding mixture; model-catch proportions are assumed.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Alepes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Scad provides a coastal schooling Decapterus connection, but reef habitat, feeding and species composition differ. No direct source membership is documented; the whole taxon is placed in Scad.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Marine groundfishes not identified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Plausible demersal and juvenile pools are retained, but the large-piscivore pool also contains pelagic Chirocentrus/Sphyraena. Unknown residual composition and mixed guilds require fixed 1980 model-catch proportions.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Caesio; Caesionidae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Small pelagics provides a coastal schooling sardine/anchovy connection. Reef habitat, feeding and species composition differ; fusiliers are not directly named. The whole taxon is placed in that analogue.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Acanthurus; Mugil; Mugilidae; Scarus; Scatophagus; Scatophagus argus; Siganidae; Siganus; Siganus canaliculatus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These unlisted coastal herbivores/omnivores have a residual-catch connection to O.fish (trash fish). Its species composition and feeding fit are unverified. Named piscivore/benthivore pools offer weaker connections; each whole taxon is assigned to O.fish.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Perciformes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The historical perch-like reporting category spans scombrids, carangids and reef/demersal guilds; the current narrow order does not define that mixture. Source piscivore pools also include other orders. Model-catch proportions assume fixed composition.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Chondrichthyes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Shark stages and rays approximate the reporting category; chimaeras have no documented source group. Species/stage composition is unknown. Historical whole-guild donor fractions have country, gear and period mismatches and remain Low allocation proxies.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Decapoda; Malacostraca; Miscellaneous aquatic invertebrates; Miscellaneous marine crustaceans; Mollusca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Compatible named invertebrate, benthic and planktonic stage pools provide a practical connection. The full reported composition is unenumerated, so eligible pools and species/stage mix are approximate. Fixed 1980 model-catch proportions are assumed.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Coryphaena hippurus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The large-predator stage pair connects to source coastal piscivores, but dolphinfish is unlisted and Tuna is a plausible competing pelagic analogue. Surface habitat and source composition differ. The accepted stage split uses fixed 1980 model-catch proportions.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Istiompax indica; Istiophoridae; Istiophorus; Istiophorus platypterus; Kajikia audax; Makaira; Makaira mazara; Tetrapturus angustirostris; Xiphias gladius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The 1993 predecessor places billfish with tuna in Large pelagics, supporting a crosswalk to focal Tuna. Focal members are coastal tuna examples; oceanic/deeper habitat and narrower taxonomy limit the analogy. No focal billfish membership or donor coefficients are implied.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Marine pelagic fishes not identified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 xml:space="preserve">Named pelagic pools and mixed guilds containing Chirocentrus/Sphyraena or Pampus provide positive source connections. The full residual species/stage mixture is unknown; explicit demersal exclusions do not remove mixed-guild uncertainty. Fixed 1980 model-catch proportions are assumed.</w:t>
            </w:r>
          </w:p>
        </w:tc>
      </w:tr>
    </w:tbl>
    <w:p>
      <w:r>
        <w:br w:type="page"/>
      </w:r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 xml:space="preserve">Target region R is the Sea Around Us LME. The focal source specifies a 10–50 m shelf domain, but its original study boundary is unavailable. Pauly &amp; Chuenpagdee (2003), Figure 14-1, provides contextual geography; its illustrative trace does not establish the focal study extent.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Gulf of Thailand target and shelf context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4328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328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Target R: 387,239 km². Blue shows the target; orange shows an approximate contextual shelf trace within the lineage map boundary. Coastline and islands are simplified. </w:t>
      </w:r>
      <w:r>
        <w:t xml:space="preserve"> </w:t>
      </w:r>
      <w:hyperlink r:id="rId28">
        <w:r>
          <w:rPr>
            <w:color w:val="0563C1"/>
            <w:u w:val="single"/>
          </w:rPr>
          <w:t>Target polygon</w:t>
        </w:r>
      </w:hyperlink>
      <w:r>
        <w:t xml:space="preserve"> | </w:t>
      </w:r>
      <w:hyperlink r:id="rId29">
        <w:r>
          <w:rPr>
            <w:color w:val="0563C1"/>
            <w:u w:val="single"/>
          </w:rPr>
          <w:t>Context trace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Illustrative depth context from lineage map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572000" cy="43281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328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Contextual trace: 112,695 km²; intersection: 102,520 km². Contextual A ≈ 26.5%; B ≈ 91.0%. The reported larger 0–50 m band (≈150,000 km², ≈38.7% of R) is separate area context. Neither identifies the missing focal 10 m boundary or full study extent. </w:t>
      </w:r>
      <w:r>
        <w:t xml:space="preserve"> </w:t>
      </w:r>
      <w:hyperlink r:id="rId30">
        <w:r>
          <w:rPr>
            <w:color w:val="0563C1"/>
            <w:u w:val="single"/>
          </w:rPr>
          <w:t>Lineage Figure14-1</w:t>
        </w:r>
      </w:hyperlink>
      <w:r>
        <w:t xml:space="preserve"> | </w:t>
      </w:r>
      <w:hyperlink r:id="rId31">
        <w:r>
          <w:rPr>
            <w:color w:val="0563C1"/>
            <w:u w:val="single"/>
          </w:rPr>
          <w:t>Calibration and limits</w:t>
        </w:r>
      </w:hyperlink>
    </w:p>
    <w:p>
      <w:pPr>
        <w:pageBreakBefore/>
        <w:spacing w:after="40" w:before="0" w:line="240" w:lineRule="auto"/>
      </w:pPr>
      <w:r>
        <w:t xml:space="preserve">Contextual Figure 14-1 from Pauly &amp; Chuenpagdee (2003), printed p.338 / PDF p.2. Its 50 m contour and angular location boundary do not constitute the original focal study map.</w:t>
      </w:r>
      <w:r>
        <w:drawing>
          <wp:inline xmlns:a="http://schemas.openxmlformats.org/drawingml/2006/main" xmlns:pic="http://schemas.openxmlformats.org/drawingml/2006/picture">
            <wp:extent cx="4572000" cy="5647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urce_figure14_1_cropp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477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LME_035.xlsx" TargetMode="External"/><Relationship Id="rId10" Type="http://schemas.openxmlformats.org/officeDocument/2006/relationships/hyperlink" Target="raw/LME_035-catch.zip" TargetMode="External"/><Relationship Id="rId11" Type="http://schemas.openxmlformats.org/officeDocument/2006/relationships/hyperlink" Target="https://doi.org/10.1111/j.1095-8649.1998.tb01023.x" TargetMode="External"/><Relationship Id="rId12" Type="http://schemas.openxmlformats.org/officeDocument/2006/relationships/hyperlink" Target="https://www.academia.edu/1483062/Fishery_induced_changes_in_a_marine_ecosystem_insight_from_models_of_the_Gulf_of_Thailand" TargetMode="External"/><Relationship Id="rId13" Type="http://schemas.openxmlformats.org/officeDocument/2006/relationships/hyperlink" Target="papers/Christensen-1998/source-facts.json" TargetMode="External"/><Relationship Id="rId14" Type="http://schemas.openxmlformats.org/officeDocument/2006/relationships/hyperlink" Target="validation_reports/35_412_Gulf_of_Thailande_%281963%29/independent_review/Pauly_Christensen_1993.pdf" TargetMode="External"/><Relationship Id="rId15" Type="http://schemas.openxmlformats.org/officeDocument/2006/relationships/hyperlink" Target="papers/GOT-2003" TargetMode="External"/><Relationship Id="rId16" Type="http://schemas.openxmlformats.org/officeDocument/2006/relationships/hyperlink" Target="papers/LME035-Premcharoen-2012" TargetMode="External"/><Relationship Id="rId17" Type="http://schemas.openxmlformats.org/officeDocument/2006/relationships/hyperlink" Target="models/35_412_Gulf_of_Thailande_%281963%29/model.json" TargetMode="External"/><Relationship Id="rId18" Type="http://schemas.openxmlformats.org/officeDocument/2006/relationships/hyperlink" Target="validation_reports/35_412_Gulf_of_Thailande_%281963%29/source_fidelity_review.json" TargetMode="External"/><Relationship Id="rId19" Type="http://schemas.openxmlformats.org/officeDocument/2006/relationships/hyperlink" Target="validation_reports/35_412_Gulf_of_Thailande_%281963%29/source_review.md" TargetMode="External"/><Relationship Id="rId20" Type="http://schemas.openxmlformats.org/officeDocument/2006/relationships/hyperlink" Target="validation_reports/35_412_Gulf_of_Thailande_%281963%29/matrix_inspection.json" TargetMode="External"/><Relationship Id="rId21" Type="http://schemas.openxmlformats.org/officeDocument/2006/relationships/hyperlink" Target="LME035_taxon_mapping_appendix.xlsx" TargetMode="External"/><Relationship Id="rId22" Type="http://schemas.openxmlformats.org/officeDocument/2006/relationships/hyperlink" Target="LME035_taxon_mapping_appendix.xlsx#Sources%21A1" TargetMode="External"/><Relationship Id="rId23" Type="http://schemas.openxmlformats.org/officeDocument/2006/relationships/hyperlink" Target="validation_reports/35_412_Gulf_of_Thailande_%281963%29/independent_review/Pauly_Christensen_1993.pdf#page=19" TargetMode="External"/><Relationship Id="rId24" Type="http://schemas.openxmlformats.org/officeDocument/2006/relationships/hyperlink" Target="validation_reports/35_412_Gulf_of_Thailande_%281963%29/taxon_audit.json" TargetMode="External"/><Relationship Id="rId25" Type="http://schemas.openxmlformats.org/officeDocument/2006/relationships/hyperlink" Target="validation_reports/35_412_Gulf_of_Thailande_%281963%29/candidate_and_allocation_evidence.json" TargetMode="External"/><Relationship Id="rId26" Type="http://schemas.openxmlformats.org/officeDocument/2006/relationships/hyperlink" Target="validation_reports/35_412_Gulf_of_Thailande_%281963%29/method_specific_mapping_exposure.json" TargetMode="External"/><Relationship Id="rId27" Type="http://schemas.openxmlformats.org/officeDocument/2006/relationships/image" Target="media/image1.png"/><Relationship Id="rId28" Type="http://schemas.openxmlformats.org/officeDocument/2006/relationships/hyperlink" Target="validation_reports/35_412_Gulf_of_Thailande_%281963%29/geography/target_region.geojson" TargetMode="External"/><Relationship Id="rId29" Type="http://schemas.openxmlformats.org/officeDocument/2006/relationships/hyperlink" Target="validation_reports/35_412_Gulf_of_Thailande_%281963%29/geography/contextual_0_50m_shelf_trace.geojson" TargetMode="External"/><Relationship Id="rId30" Type="http://schemas.openxmlformats.org/officeDocument/2006/relationships/hyperlink" Target="papers/Christensen-1998/Pauly-Chuenpagdee-2003.pdf#page=2" TargetMode="External"/><Relationship Id="rId31" Type="http://schemas.openxmlformats.org/officeDocument/2006/relationships/hyperlink" Target="validation_reports/35_412_Gulf_of_Thailande_%281963%29/geography/geographic_assessment.json" TargetMode="External"/><Relationship Id="rId3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