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Regional model validation record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Papua New Guinea, EEZ_598. Regional review completed; figures integrated.</ns0:t>
            </ns0:r>
            <ns0:r>
              <ns0:t xml:space="preserve"> </ns0:t>
            </ns0:r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Sea Around Us regional catch, 1950–2019; landings reference year 2019. Exact Papua New Guinea reporting unit, including unidentified categories; historical download retained.</ns0:t>
            </ns0:r>
            <ns0:r>
              <ns0:t xml:space="preserve"> </ns0:t>
            </ns0:r>
            <ns0:hyperlink ns2:id="rId10">
              <ns0:r>
                <ns0:rPr>
                  <ns0:color ns0:val="0563C1"/>
                  <ns0:u ns0:val="single"/>
                </ns0:rPr>
                <ns0:t>Catch inputs</ns0:t>
              </ns0:r>
            </ns0:hyperlink>
            <ns0:r>
              <ns0:t xml:space="preserve"> | </ns0:t>
            </ns0:r>
            <ns0:hyperlink ns2:id="rId9">
              <ns0:r>
                <ns0:rPr>
                  <ns0:color ns0:val="0563C1"/>
                  <ns0:u ns0:val="single"/>
                </ns0:rPr>
                <ns0:t>Workbook catch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Allain, V.; Nicol, S.; Essington, T.; Okey, T.; Olson, B.; Kirby, D. (2007). An Ecopath with Ecosim model of the Western and Central Pacific Ocean warm pool pelagic ecosystem. WCPFC-SC3-EB SWG/IP-8. DOI: not recorded.</ns0:t>
            </ns0:r>
            <ns0:r>
              <ns0:t xml:space="preserve"> </ns0:t>
            </ns0:r>
            <ns0:hyperlink ns2:id="rId11">
              <ns0:r>
                <ns0:rPr>
                  <ns0:color ns0:val="0563C1"/>
                  <ns0:u ns0:val="single"/>
                </ns0:rPr>
                <ns0:t>Source PDF</ns0:t>
              </ns0:r>
            </ns0:hyperlink>
            <ns0:r>
              <ns0:t xml:space="preserve"> | </ns0:t>
            </ns0:r>
            <ns0:hyperlink ns2:id="rId12">
              <ns0:r>
                <ns0:rPr>
                  <ns0:color ns0:val="0563C1"/>
                  <ns0:u ns0:val="single"/>
                </ns0:rPr>
                <ns0:t>WCPFC article</ns0:t>
              </ns0:r>
            </ns0:hyperlink>
            <ns0:r>
              <ns0:t xml:space="preserve"> | </ns0:t>
            </ns0:r>
            <ns0:hyperlink ns2:id="rId13">
              <ns0:r>
                <ns0:rPr>
                  <ns0:color ns0:val="0563C1"/>
                  <ns0:u ns0:val="single"/>
                </ns0:rPr>
                <ns0:t>Paper folder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Griffiths, S.P.; Allain, V.; Hoyle, S.D.; Lawson, T.A.; Nicol, S.J. (2019). Just a FAD? Ecosystem impacts of tuna purse-seine fishing associated with fish aggregating devices in the western Pacific Warm Pool Province. 2005 source and pooled experiment retained for investigation; not selected.</ns0:t>
            </ns0:r>
            <ns0:r>
              <ns0:t xml:space="preserve"> </ns0:t>
            </ns0:r>
            <ns0:hyperlink ns2:id="rId14">
              <ns0:r>
                <ns0:rPr>
                  <ns0:color ns0:val="0563C1"/>
                  <ns0:u ns0:val="single"/>
                </ns0:rPr>
                <ns0:t>DOI 10.1111/fog.12389</ns0:t>
              </ns0:r>
            </ns0:hyperlink>
            <ns0:r>
              <ns0:t xml:space="preserve"> | </ns0:t>
            </ns0:r>
            <ns0:hyperlink ns2:id="rId15">
              <ns0:r>
                <ns0:rPr>
                  <ns0:color ns0:val="0563C1"/>
                  <ns0:u ns0:val="single"/>
                </ns0:rPr>
                <ns0:t>Retained article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941_20070101_WCPO_Warm_Pool_Option1_(mixed_periods); mixed source periods. Final 31 ecological groups plus one computational import. Pelagic study domain 110–180°E, 15°S–15°N.</ns0:t>
            </ns0:r>
            <ns0:r>
              <ns0:t xml:space="preserve"> </ns0:t>
            </ns0:r>
            <ns0:hyperlink ns2:id="rId16">
              <ns0:r>
                <ns0:rPr>
                  <ns0:color ns0:val="0563C1"/>
                  <ns0:u ns0:val="single"/>
                </ns0:rPr>
                <ns0:t>Selected JSON</ns0:t>
              </ns0:r>
            </ns0:hyperlink>
            <ns0:r>
              <ns0:t xml:space="preserve"> | </ns0:t>
            </ns0:r>
            <ns0:hyperlink ns2:id="rId17">
              <ns0:r>
                <ns0:rPr>
                  <ns0:color ns0:val="0563C1"/>
                  <ns0:u ns0:val="single"/>
                </ns0:rPr>
                <ns0:t>Model folder</ns0:t>
              </ns0:r>
            </ns0:hyperlink>
            <ns0:r>
              <ns0:t xml:space="preserve"> | </ns0:t>
            </ns0:r>
            <ns0:hyperlink ns2:id="rId18">
              <ns0:r>
                <ns0:rPr>
                  <ns0:color ns0:val="0563C1"/>
                  <ns0:u ns0:val="single"/>
                </ns0:rPr>
                <ns0:t>Loaded state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Initial 24-group WCPO warm-pool model and final 31-group source model, both mixed periods and the same broad domain; final adds stages and forage detail. The adopted D_fixed_M0 option1 is an extraction/parameter variant of the final model. Three Ecosim perturbations are scenarios, not distinct Ecopath inputs.</ns0:t>
            </ns0:r>
            <ns0:r>
              <ns0:t xml:space="preserve"> </ns0:t>
            </ns0:r>
            <ns0:hyperlink ns2:id="rId19">
              <ns0:r>
                <ns0:rPr>
                  <ns0:color ns0:val="0563C1"/>
                  <ns0:u ns0:val="single"/>
                </ns0:rPr>
                <ns0:t>Initial model</ns0:t>
              </ns0:r>
            </ns0:hyperlink>
            <ns0:r>
              <ns0:t xml:space="preserve"> | </ns0:t>
            </ns0:r>
            <ns0:hyperlink ns2:id="rId20">
              <ns0:r>
                <ns0:rPr>
                  <ns0:color ns0:val="0563C1"/>
                  <ns0:u ns0:val="single"/>
                </ns0:rPr>
                <ns0:t>Final source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Article: ? — comparative article-selection reason is unrecorded. Model: the recorded selection adopts D_fixed_M0 to preserve juvenile other-mortality flows and improve juvenile production consistency. It remains a surrogate; Griffiths 2019 is deferred for investigation.</ns0:t>
            </ns0:r>
            <ns0:r>
              <ns0:t xml:space="preserve"> </ns0:t>
            </ns0:r>
            <ns0:hyperlink ns2:id="rId21">
              <ns0:r>
                <ns0:rPr>
                  <ns0:color ns0:val="0563C1"/>
                  <ns0:u ns0:val="single"/>
                </ns0:rPr>
                <ns0:t>Recorded rationale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Initial/final table scope is distinguished. Accepted Small BET/YFT P/B and EE differ from the paper. Source YFT/piscivorous diet sums 0.998/1.002 are normalized by the retained loader. GS exceptions are retained; missing BA is derived for 24 groups. Missing baby/forage catch becomes runtime zero, not observed source zero; detritus EE is forced to 1 and synthetic import is added. Native stanza dynamics are not reproduced.</ns0:t>
            </ns0:r>
            <ns0:r>
              <ns0:t xml:space="preserve"> </ns0:t>
            </ns0:r>
            <ns0:hyperlink ns2:id="rId22">
              <ns0:r>
                <ns0:rPr>
                  <ns0:color ns0:val="0563C1"/>
                  <ns0:u ns0:val="single"/>
                </ns0:rPr>
                <ns0:t>Source and runtime review</ns0:t>
              </ns0:r>
            </ns0:hyperlink>
            <ns0:r>
              <ns0:t xml:space="preserve"> | </ns0:t>
            </ns0:r>
            <ns0:hyperlink ns2:id="rId23">
              <ns0:r>
                <ns0:rPr>
                  <ns0:color ns0:val="0563C1"/>
                  <ns0:u ns0:val="single"/>
                </ns0:rPr>
                <ns0:t>Transformation ledger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</ns0:tbl>
    <ns0:p>
      <ns0:pPr>
        <ns0:spacing ns0:after="40" ns0:before="0" ns0:line="240" ns0:lineRule="auto"/>
        <ns0:pageBreakBefore/>
      </ns0:pPr>
      <ns0:r>
        <ns0:rPr>
          <ns0:rFonts ns0:ascii="Calibri" ns0:hAnsi="Calibri"/>
          <ns0:sz ns0:val="2"/>
          <ns0:color ns0:val="000000"/>
        </ns0:rPr>
        <ns0:t xml:space="preserve"/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across the basal-source columns. rho_living = 0.54676655; b = 0.63691435; Detritus (31) SPPR = 2.58026100.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No negative SPPR entries across the basal-source columns. rho_living = 0.82430628; Detritus (31) SPPR = 0.25250886.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Approximate A: 100% of the Papua New Guinea EEZ lies in the reported study rectangle. B: about 8.9–10.4% of the study area lies in this EEZ; the range reflects the published-area versus land-excluded coordinate-domain denominator. Broad pelagic overlap does not resolve coastal/reef-fish representativeness.</ns0:t>
            </ns0:r>
            <ns0:r>
              <ns0:t xml:space="preserve"> </ns0:t>
            </ns0:r>
            <ns0:hyperlink ns2:id="rId24">
              <ns0:r>
                <ns0:rPr>
                  <ns0:color ns0:val="0563C1"/>
                  <ns0:u ns0:val="single"/>
                </ns0:rPr>
                <ns0:t>Boundary estimate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Mixed source inputs: skipjack/forage 1993–2002, yellowfin/bigeye/bycatch 1995–2004 and diet 2001–2007; 2005–2006 assessment editions are not model years. Fixed ecosystem coefficients and composition proxies are transferred across 1950–2019; the 2019 estimate is not an annual ecosystem reconstruction.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t>The accepted variant retains overall WARN and strict mass balance false (adult BET production residual ≈0.728%); PP-budget status is OK. Original source/native-model validity and author confirmation remain unestablished. Geographic coverage and nonnegative coefficients do not resolve these limitations.</ns0:t>
            </ns0:r>
            <ns0:r>
              <ns0:t xml:space="preserve"> </ns0:t>
            </ns0:r>
            <ns0:hyperlink ns2:id="rId25">
              <ns0:r>
                <ns0:rPr>
                  <ns0:color ns0:val="0563C1"/>
                  <ns0:u ns0:val="single"/>
                </ns0:rPr>
                <ns0:t>Exact diagnostic evidence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30"/>
        </ns0:rPr>
        <ns0:t>Taxon mapping and coverage</ns0:t>
      </ns0:r>
    </ns0:p>
    <ns0:p>
      <ns0:pPr>
        <ns0:keepNext ns0:val="0"/>
        <ns0:pageBreakBefore ns0:val="0"/>
        <ns0:spacing ns0:after="120"/>
      </ns0:pPr>
      <ns0:r>
        <ns0:t>Reference: 2019 landings; all catch labels and source-group scope, including zero catch and unidentified categories.</ns0:t>
      </ns0:r>
    </ns0:p>
    <ns0:p>
      <ns0:pPr>
        <ns0:keepNext ns0:val="0"/>
        <ns0:pageBreakBefore ns0:val="0"/>
        <ns0:spacing ns0:after="120"/>
      </ns0:pPr>
      <ns0:r>
        <ns0:t>31 source ecological groups (+1 computational import); 102 catch labels.</ns0:t>
      </ns0:r>
    </ns0:p>
    <ns0:p>
      <ns0:pPr>
        <ns0:keepNext ns0:val="0"/>
        <ns0:pageBreakBefore ns0:val="0"/>
        <ns0:spacing ns0:after="120"/>
      </ns0:pPr>
      <ns0:r>
        <ns0:t>Simple-chain PPR totals 140,786,408.80 t C in 2019.</ns0:t>
      </ns0:r>
    </ns0:p>
    <ns0:p>
      <ns0:pPr>
        <ns0:keepNext ns0:val="0"/>
        <ns0:pageBreakBefore ns0:val="0"/>
        <ns0:spacing ns0:after="120"/>
      </ns0:pPr>
      <ns0:r>
        <ns0:t>47 labels lack a saved TL/coefficient. All have zero 2019 landings and therefore zero annual contribution; their missing inputs remain unknown.</ns0:t>
      </ns0:r>
    </ns0:p>
    <ns0:p>
      <ns0:pPr>
        <ns0:keepNext ns0:val="0"/>
        <ns0:pageBreakBefore ns0:val="0"/>
        <ns0:spacing ns0:after="120"/>
      </ns0:pPr>
      <ns0:r>
        <ns0:t>Method: independent simple trophic chain using saved classic taxon coefficients.</ns0:t>
      </ns0:r>
    </ns0:p>
    <ns0:p>
      <ns0:pPr>
        <ns0:keepNext ns0:val="0"/>
        <ns0:pageBreakBefore ns0:val="0"/>
        <ns0:spacing ns0:after="120"/>
      </ns0:pPr>
      <ns0:hyperlink ns2:id="rId26">
        <ns0:r>
          <ns0:rPr>
            <ns0:color ns0:val="0563C1"/>
            <ns0:u ns0:val="single"/>
          </ns0:rPr>
          <ns0:t>Taxon mapping appendix</ns0:t>
        </ns0:r>
      </ns0:hyperlink>
      <ns0:r>
        <ns0:t xml:space="preserve"> and </ns0:t>
      </ns0:r>
      <ns0:hyperlink ns2:id="rId27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Taxa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Catch percentage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0.0571%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0.0542%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33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92.2048%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98.4226%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15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2.1487%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0.3040%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47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5.2643%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1.2169%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5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0.3251%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0.0022%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The summary uses the weaker required membership or allocation confidence. The following tables show each component separately.</ns0:t>
      </ns0:r>
    </ns0:p>
    <ns0:p>
      <ns0:pPr>
        <ns0:keepNext/>
        <ns0:pageBreakBefore ns0:val="0"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Group assignment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Explicit final source membership in the group or stage union.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97.2962%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Supported candidate set requires an explicit membership inference.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0.9015%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Weak usable taxonomic/functional analogue; habitat/stage mismatch.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0.8126%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Broad catch label uses an assumed represented-pool composition.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0.4043%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Source lineage partly fits the habitat or stage definition.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0.3040%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Documented family identity fits the complete source group set.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0.1934%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Verified historical/current synonym fits the named source stages.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0.0767%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Supported ecological extension for an unlisted pelagic piscivore.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0.0090%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No meaningful taxonomic/feeding guild or usable analogue.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Unresolved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0.0022%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Related small-pelagic taxa extend final listed representatives.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Membership evidence: </ns0:t>
      </ns0:r>
      <ns0:hyperlink ns2:id="rId28">
        <ns0:r>
          <ns0:rPr>
            <ns0:color ns0:val="0563C1"/>
            <ns0:u ns0:val="single"/>
          </ns0:rPr>
          <ns0:t>final source definitions and taxonomic/ecological review</ns0:t>
        </ns0:r>
      </ns0:hyperlink>
    </ns0:p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Allocation weight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Historical source landings proportions supply an assumed regional composition; genuine zeros and the accepted infant exception are explicit.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98.0894%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Incomplete raw source catch rejects the catch proxy; complete biomass proportions assume regional composition/catchability.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1.8120%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One eligible group receives the entire taxon; this adds no allocation uncertainty.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0.0964%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t>No eligible compartment supplies a numerical allocation.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Unresolved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t>0.0022%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Each percentage is the simple-chain PPR associated with taxa using that rule. Weights and assumptions: </ns0:t>
      </ns0:r>
      <ns0:hyperlink ns2:id="rId29">
        <ns0:r>
          <ns0:rPr>
            <ns0:color ns0:val="0563C1"/>
            <ns0:u ns0:val="single"/>
          </ns0:rPr>
          <ns0:t>candidate/catch/biomass evidence</ns0:t>
        </ns0:r>
      </ns0:hyperlink>
    </ns0:p>
    <ns0:p>
      <ns0:pPr>
        <ns0:keepNext ns0:val="0"/>
        <ns0:pageBreakBefore ns0:val="0"/>
        <ns0:spacing ns0:after="120"/>
      </ns0:pPr>
      <ns0:r>
        <ns0:t>Unresolved: Bivalvia, Pinctada, Tridacna gigas, Echinodermata and Holothuriidae lack a meaningful feeding/taxonomic guild. Bivalvia and Pinctada have positive 2019 catch; the other three have zero. Their combined catch is 0.3251% and simple-chain PPR is 0.0022%. Very low: 47 exact broad-category or coastal, invertebrate and unlisted-tuna analogues are flagged in the appendix; 5.2643% of landings and 1.2169% of simple-chain PPR. Numerical model coverage is 99.6749%; coverage does not establish representativeness.</ns0:t>
      </ns0:r>
      <ns0:r>
        <ns0:t xml:space="preserve"> The two residual marine-fish labels now use all 17 source-defined bony-fish pools, including named tuna and billfish stages. Dedicated sharks are excluded; mixed bathyal pools remain an uncertain whole-biomass proxy. Missing source exports require complete biomass allocation (W9, Medium); residual composition and transfer remain Very low. Independent simple-chain confidence shares above are unchanged; model-method contributions are recalculated. </ns0:t>
      </ns0:r>
      <ns0:hyperlink ns2:id="rId38">
        <ns0:r>
          <ns0:rPr>
            <ns0:color ns0:val="0563C1"/>
            <ns0:u ns0:val="single"/>
          </ns0:rPr>
          <ns0:t>Reporting scope evidence</ns0:t>
        </ns0:r>
      </ns0:hyperlink>
    </ns0:p>
    <ns0:p>
      <ns0:pPr>
        <ns0:pStyle ns0:val="Title"/>
        <ns0:pageBreakBefore/>
        <ns0:keepNext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t>Target region R and selected model study area S. Approximate WGS84 boundary comparison with consistent land exclusion; the reported model area gives an alternate B denominator.</ns0:t>
      </ns0:r>
    </ns0:p>
    <ns0:p>
      <ns0:pPr>
        <ns0:pStyle ns0:val="Heading2"/>
        <ns0:keepNext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Papua New Guinea EEZ_598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/>
              <ns0:spacing ns0:after="40" ns0:before="0" ns0:line="240" ns0:lineRule="auto"/>
            </ns0:pPr>
            <ns0:r/>
            <ns0:r>
              <ns0:drawing>
                <ns3:inline>
                  <ns3:extent cx="5943600" cy="3235960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region_boundary.png"/>
                          <ns5:cNvPicPr/>
                        </ns5:nvPicPr>
                        <ns5:blipFill>
                          <ns4:blip ns2:embed="rId30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943600" cy="323596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Papua New Guinea EEZ boundary: repaired repository Sea Around Us polygon; Natural Earth 1:50m land. </ns0:t>
      </ns0:r>
      <ns0:r>
        <ns0:t xml:space="preserve"> </ns0:t>
      </ns0:r>
      <ns0:hyperlink ns2:id="rId32">
        <ns0:r>
          <ns0:rPr>
            <ns0:color ns0:val="0563C1"/>
            <ns0:u ns0:val="single"/>
          </ns0:rPr>
          <ns0:t>Boundary source</ns0:t>
        </ns0:r>
      </ns0:hyperlink>
      <ns0:r>
        <ns0:t xml:space="preserve"> | </ns0:t>
      </ns0:r>
      <ns0:hyperlink ns2:id="rId33">
        <ns0:r>
          <ns0:rPr>
            <ns0:color ns0:val="0563C1"/>
            <ns0:u ns0:val="single"/>
          </ns0:rPr>
          <ns0:t>Image</ns0:t>
        </ns0:r>
      </ns0:hyperlink>
    </ns0:p>
    <ns0:p>
      <ns0:pPr>
        <ns0:pStyle ns0:val="Heading2"/>
        <ns0:keepNext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t>Study rectangle from Allain et al. (2007), Section 2.2 PDF7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keepNext/>
              <ns0:spacing ns0:after="40" ns0:before="0" ns0:line="240" ns0:lineRule="auto"/>
            </ns0:pPr>
            <ns0:r/>
            <ns0:r>
              <ns0:drawing>
                <ns3:inline>
                  <ns3:extent cx="5943600" cy="3235960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study_domain.png"/>
                          <ns5:cNvPicPr/>
                        </ns5:nvPicPr>
                        <ns5:blipFill>
                          <ns4:blip ns2:embed="rId31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5943600" cy="323596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t xml:space="preserve">Reported bounds: 110–180°E, 15°S–15°N; reconstructed study boundary. Figure 1 PDF3 shows the broader warm-pool/cold-tongue context. </ns0:t>
      </ns0:r>
      <ns0:r>
        <ns0:t xml:space="preserve"> </ns0:t>
      </ns0:r>
      <ns0:hyperlink ns2:id="rId34">
        <ns0:r>
          <ns0:rPr>
            <ns0:color ns0:val="0563C1"/>
            <ns0:u ns0:val="single"/>
          </ns0:rPr>
          <ns0:t>Source PDF7</ns0:t>
        </ns0:r>
      </ns0:hyperlink>
      <ns0:r>
        <ns0:t xml:space="preserve"> | </ns0:t>
      </ns0:r>
      <ns0:hyperlink ns2:id="rId35">
        <ns0:r>
          <ns0:rPr>
            <ns0:color ns0:val="0563C1"/>
            <ns0:u ns0:val="single"/>
          </ns0:rPr>
          <ns0:t>Source Figure 1</ns0:t>
        </ns0:r>
      </ns0:hyperlink>
      <ns0:r>
        <ns0:t xml:space="preserve"> | </ns0:t>
      </ns0:r>
      <ns0:hyperlink ns2:id="rId36">
        <ns0:r>
          <ns0:rPr>
            <ns0:color ns0:val="0563C1"/>
            <ns0:u ns0:val="single"/>
          </ns0:rPr>
          <ns0:t>Image</ns0:t>
        </ns0:r>
      </ns0:hyperlink>
    </ns0:p>
    <ns0:p>
      <ns0:pPr>
        <ns0:spacing ns0:after="40" ns0:before="0" ns0:line="240" ns0:lineRule="auto"/>
      </ns0:pPr>
      <ns0:r>
        <ns0:drawing>
          <ns3:inline>
            <ns3:extent cx="5943600" cy="2701636"/>
            <ns3:docPr id="3" name="Picture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article_figure1_crop.png"/>
                    <ns5:cNvPicPr/>
                  </ns5:nvPicPr>
                  <ns5:blipFill>
                    <ns4:blip ns2:embed="rId3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943600" cy="2701636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EEZ_598.xlsx" TargetMode="External" /><ns0:Relationship Id="rId10" Type="http://schemas.openxmlformats.org/officeDocument/2006/relationships/hyperlink" Target="../../../../../../../EEZ_598/raw" TargetMode="External" /><ns0:Relationship Id="rId11" Type="http://schemas.openxmlformats.org/officeDocument/2006/relationships/hyperlink" Target="../../../sources/download-0adcf55e.pdf" TargetMode="External" /><ns0:Relationship Id="rId12" Type="http://schemas.openxmlformats.org/officeDocument/2006/relationships/hyperlink" Target="https://meetings.wcpfc.int/node/6157" TargetMode="External" /><ns0:Relationship Id="rId13" Type="http://schemas.openxmlformats.org/officeDocument/2006/relationships/hyperlink" Target="../../.." TargetMode="External" /><ns0:Relationship Id="rId14" Type="http://schemas.openxmlformats.org/officeDocument/2006/relationships/hyperlink" Target="https://doi.org/10.1111/fog.12389" TargetMode="External" /><ns0:Relationship Id="rId15" Type="http://schemas.openxmlformats.org/officeDocument/2006/relationships/hyperlink" Target="../../../../Griffiths-2019" TargetMode="External" /><ns0:Relationship Id="rId16" Type="http://schemas.openxmlformats.org/officeDocument/2006/relationships/hyperlink" Target="../model_notes.md#removed-extraction-evidence" TargetMode="External" /><ns0:Relationship Id="rId17" Type="http://schemas.openxmlformats.org/officeDocument/2006/relationships/hyperlink" Target=".." TargetMode="External" /><ns0:Relationship Id="rId18" Type="http://schemas.openxmlformats.org/officeDocument/2006/relationships/hyperlink" Target="../../../../../../EEZ_941/papers/WCP-2007/models/941_20070101_WCPO_Warm_Pool_Option1_(mixed_periods)/model_validation/evidence/source_review/evidence/2026-09-28_integration/loaded_state.json" TargetMode="External" /><ns0:Relationship Id="rId19" Type="http://schemas.openxmlformats.org/officeDocument/2006/relationships/hyperlink" Target="../../../../../../EEZ_941/papers/WCP-2007/models/941_200702_WCPO_Warm_Pool_Initial_(mixed_periods)" TargetMode="External" /><ns0:Relationship Id="rId20" Type="http://schemas.openxmlformats.org/officeDocument/2006/relationships/hyperlink" Target="../../../../../../EEZ_941/papers/WCP-2007/models/941_200701_WCPO_Warm_Pool_Final_(mixed_periods)" TargetMode="External" /><ns0:Relationship Id="rId21" Type="http://schemas.openxmlformats.org/officeDocument/2006/relationships/hyperlink" Target="../extracted_tables/evidence/SELECTION_REPORT.md" TargetMode="External" /><ns0:Relationship Id="rId22" Type="http://schemas.openxmlformats.org/officeDocument/2006/relationships/hyperlink" Target="evidence/source_review/source_review.md#source-layers-and-scientific-limitations" TargetMode="External" /><ns0:Relationship Id="rId23" Type="http://schemas.openxmlformats.org/officeDocument/2006/relationships/hyperlink" Target="../../../../../../EEZ_941/papers/WCP-2007/models/941_20070101_WCPO_Warm_Pool_Option1_(mixed_periods)/model_validation/evidence/source_review/evidence/2026-09-28_integration/transformation_ledger.json" TargetMode="External" /><ns0:Relationship Id="rId24" Type="http://schemas.openxmlformats.org/officeDocument/2006/relationships/hyperlink" Target="evidence/source_review/geographic_estimate.json" TargetMode="External" /><ns0:Relationship Id="rId25" Type="http://schemas.openxmlformats.org/officeDocument/2006/relationships/hyperlink" Target="evidence/source_review/diagnostics_verification.json" TargetMode="External" /><ns0:Relationship Id="rId26" Type="http://schemas.openxmlformats.org/officeDocument/2006/relationships/hyperlink" Target="taxon_mapping.xlsx" TargetMode="External" /><ns0:Relationship Id="rId27" Type="http://schemas.openxmlformats.org/officeDocument/2006/relationships/hyperlink" Target="taxon_mapping.xlsx#Sources%21A1" TargetMode="External" /><ns0:Relationship Id="rId28" Type="http://schemas.openxmlformats.org/officeDocument/2006/relationships/hyperlink" Target="evidence/source_review/source_review.md#membership-and-reporting-scope" TargetMode="External" /><ns0:Relationship Id="rId29" Type="http://schemas.openxmlformats.org/officeDocument/2006/relationships/hyperlink" Target="evidence/source_review/source_review.md#stage-allocation" TargetMode="External" /><ns0:Relationship Id="rId30" Type="http://schemas.openxmlformats.org/officeDocument/2006/relationships/image" Target="media/image1.png" /><ns0:Relationship Id="rId31" Type="http://schemas.openxmlformats.org/officeDocument/2006/relationships/image" Target="media/image2.png" /><ns0:Relationship Id="rId32" Type="http://schemas.openxmlformats.org/officeDocument/2006/relationships/hyperlink" Target="../../../../../../../../common_reference_data/geography/boundaries/EEZs.geojson" TargetMode="External" /><ns0:Relationship Id="rId33" Type="http://schemas.openxmlformats.org/officeDocument/2006/relationships/hyperlink" Target="evidence/source_review/region_boundary.png" TargetMode="External" /><ns0:Relationship Id="rId34" Type="http://schemas.openxmlformats.org/officeDocument/2006/relationships/hyperlink" Target="../../../sources/download-0adcf55e.pdf#page=7" TargetMode="External" /><ns0:Relationship Id="rId35" Type="http://schemas.openxmlformats.org/officeDocument/2006/relationships/hyperlink" Target="evidence/source_review/article_figure1_crop.png" TargetMode="External" /><ns0:Relationship Id="rId36" Type="http://schemas.openxmlformats.org/officeDocument/2006/relationships/hyperlink" Target="evidence/source_review/study_domain.png" TargetMode="External" /><ns0:Relationship Id="rId37" Type="http://schemas.openxmlformats.org/officeDocument/2006/relationships/image" Target="media/image3.png" /><ns0:Relationship Id="rId38" Type="http://schemas.openxmlformats.org/officeDocument/2006/relationships/hyperlink" Target="evidence/source_review/residual_fish_scope_followup.json" TargetMode="External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