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14="http://schemas.microsoft.com/office/word/2010/wordml" xmlns:wp14="http://schemas.microsoft.com/office/word/2010/wordprocessingDrawing" ns1:Ignorable="w14 wp14">
  <ns0:body>
    <ns0:p>
      <ns0:pPr>
        <ns0:pStyle ns0:val="Title"/>
      </ns0:pPr>
      <ns0:r>
        <ns0:t>Regional model validation record</ns0:t>
      </ns0:r>
    </ns0:p>
    <ns0:tbl>
      <ns0:tblPr>
        <ns0:tblW ns0:type="auto" ns0:w="0"/>
        <ns0:jc ns0:val="center"/>
        <ns0:tblLayout ns0:type="fixed"/>
        <ns0:tblLook ns0:firstColumn="1" ns0:firstRow="1" ns0:lastColumn="0" ns0:lastRow="0" ns0:noHBand="0" ns0:noVBand="1" ns0:val="04A0"/>
      </ns0:tblPr>
      <ns0:tblGrid>
        <ns0:gridCol ns0:w="2203"/>
        <ns0:gridCol ns0:w="7834"/>
      </ns0:tblGrid>
      <ns0:tr>
        <ns0:trPr>
          <ns0:cantSplit/>
          <ns0:tblHeader/>
          <ns0:tblHeader/>
          <ns0:cantSplit/>
        </ns0:trPr>
        <ns0:tc>
          <ns0:tcPr>
            <ns0:tcW ns0:type="dxa" ns0:w="2203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Field</ns0:t>
            </ns0:r>
          </ns0:p>
        </ns0:tc>
        <ns0:tc>
          <ns0:tcPr>
            <ns0:tcW ns0:type="dxa" ns0:w="7834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rPr>
                <ns0:rFonts ns0:ascii="Calibri" ns0:hAnsi="Calibri"/>
                <ns0:sz ns0:val="21"/>
                <ns0:color ns0:val="000000"/>
                <ns0:b/>
              </ns0:rPr>
              <ns0:t xml:space="preserve">Entry</ns0:t>
            </ns0:r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Region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Kiribati (Gilbert Islands), EEZ_941.</ns0:t>
            </ns0:r>
            <ns0:r>
              <ns0:t xml:space="preserve"> </ns0:t>
            </ns0:r>
            <ns0:hyperlink ns2:id="rId9">
              <ns0:r>
                <ns0:rPr>
                  <ns0:color ns0:val="0563C1"/>
                  <ns0:u ns0:val="single"/>
                </ns0:rPr>
                <ns0:t>Regional workbook</ns0:t>
              </ns0:r>
            </ns0:hyperlink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Catch source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Sea Around Us regional catch, 1950–2019; landings reference year 2019. Exact Gilbert Islands reporting unit, including unidentified categories; historical download retained.</ns0:t>
            </ns0:r>
            <ns0:r>
              <ns0:t xml:space="preserve"> </ns0:t>
            </ns0:r>
            <ns0:hyperlink ns2:id="rId10">
              <ns0:r>
                <ns0:rPr>
                  <ns0:color ns0:val="0563C1"/>
                  <ns0:u ns0:val="single"/>
                </ns0:rPr>
                <ns0:t>Catch inputs</ns0:t>
              </ns0:r>
            </ns0:hyperlink>
            <ns0:r>
              <ns0:t xml:space="preserve"> | </ns0:t>
            </ns0:r>
            <ns0:hyperlink ns2:id="rId9">
              <ns0:r>
                <ns0:rPr>
                  <ns0:color ns0:val="0563C1"/>
                  <ns0:u ns0:val="single"/>
                </ns0:rPr>
                <ns0:t>Workbook catch</ns0:t>
              </ns0:r>
            </ns0:hyperlink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Selected article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Allain, V.; Nicol, S.; Essington, T.; Okey, T.; Olson, B.; Kirby, D. (2007). An Ecopath with Ecosim model of the Western and Central Pacific Ocean warm pool pelagic ecosystem. WCPFC-SC3-EB SWG/IP-8. DOI: not recorded.</ns0:t>
            </ns0:r>
            <ns0:r>
              <ns0:t xml:space="preserve"> </ns0:t>
            </ns0:r>
            <ns0:hyperlink ns2:id="rId11">
              <ns0:r>
                <ns0:rPr>
                  <ns0:color ns0:val="0563C1"/>
                  <ns0:u ns0:val="single"/>
                </ns0:rPr>
                <ns0:t>Source PDF</ns0:t>
              </ns0:r>
            </ns0:hyperlink>
            <ns0:r>
              <ns0:t xml:space="preserve"> | </ns0:t>
            </ns0:r>
            <ns0:hyperlink ns2:id="rId12">
              <ns0:r>
                <ns0:rPr>
                  <ns0:color ns0:val="0563C1"/>
                  <ns0:u ns0:val="single"/>
                </ns0:rPr>
                <ns0:t>WCPFC article</ns0:t>
              </ns0:r>
            </ns0:hyperlink>
            <ns0:r>
              <ns0:t xml:space="preserve"> | </ns0:t>
            </ns0:r>
            <ns0:hyperlink ns2:id="rId13">
              <ns0:r>
                <ns0:rPr>
                  <ns0:color ns0:val="0563C1"/>
                  <ns0:u ns0:val="single"/>
                </ns0:rPr>
                <ns0:t>Paper folder</ns0:t>
              </ns0:r>
            </ns0:hyperlink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Other known articles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Griffiths, S.P.; Allain, V.; Hoyle, S.D.; Lawson, T.A.; Nicol, S.J. (2019). Just a FAD? Ecosystem impacts of tuna purse-seine fishing associated with fish aggregating devices in the western Pacific Warm Pool Province. 2005 source and pooled experiment retained for investigation; not selected.</ns0:t>
            </ns0:r>
            <ns0:r>
              <ns0:t xml:space="preserve"> </ns0:t>
            </ns0:r>
            <ns0:hyperlink ns2:id="rId14">
              <ns0:r>
                <ns0:rPr>
                  <ns0:color ns0:val="0563C1"/>
                  <ns0:u ns0:val="single"/>
                </ns0:rPr>
                <ns0:t>DOI 10.1111/fog.12389</ns0:t>
              </ns0:r>
            </ns0:hyperlink>
            <ns0:r>
              <ns0:t xml:space="preserve"> | </ns0:t>
            </ns0:r>
            <ns0:hyperlink ns2:id="rId15">
              <ns0:r>
                <ns0:rPr>
                  <ns0:color ns0:val="0563C1"/>
                  <ns0:u ns0:val="single"/>
                </ns0:rPr>
                <ns0:t>Retained article</ns0:t>
              </ns0:r>
            </ns0:hyperlink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Selected model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941_20070101_WCPO_Warm_Pool_Option1_(mixed_periods); mixed source periods. Final 31 ecological groups plus one computational import. Pelagic study domain 110–180°E, 15°S–15°N.</ns0:t>
            </ns0:r>
            <ns0:r>
              <ns0:t xml:space="preserve"> </ns0:t>
            </ns0:r>
            <ns0:hyperlink ns2:id="rId16">
              <ns0:r>
                <ns0:rPr>
                  <ns0:color ns0:val="0563C1"/>
                  <ns0:u ns0:val="single"/>
                </ns0:rPr>
                <ns0:t>Selected JSON</ns0:t>
              </ns0:r>
            </ns0:hyperlink>
            <ns0:r>
              <ns0:t xml:space="preserve"> | </ns0:t>
            </ns0:r>
            <ns0:hyperlink ns2:id="rId17">
              <ns0:r>
                <ns0:rPr>
                  <ns0:color ns0:val="0563C1"/>
                  <ns0:u ns0:val="single"/>
                </ns0:rPr>
                <ns0:t>Model folder</ns0:t>
              </ns0:r>
            </ns0:hyperlink>
            <ns0:r>
              <ns0:t xml:space="preserve"> | </ns0:t>
            </ns0:r>
            <ns0:hyperlink ns2:id="rId18">
              <ns0:r>
                <ns0:rPr>
                  <ns0:color ns0:val="0563C1"/>
                  <ns0:u ns0:val="single"/>
                </ns0:rPr>
                <ns0:t>Loaded state</ns0:t>
              </ns0:r>
            </ns0:hyperlink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rPr>
                <ns0:rFonts ns0:ascii="Calibri" ns0:hAnsi="Calibri"/>
                <ns0:sz ns0:val="21"/>
                <ns0:color ns0:val="000000"/>
                <ns0:b/>
              </ns0:rPr>
              <ns0:t xml:space="preserve">Other models from the same article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Initial 24-group WCPO warm-pool model and final 31-group source model, both mixed periods and the same broad domain; final adds stages and forage detail. The adopted D_fixed_M0 option1 is an extraction/parameter variant of the final model. Three Ecosim perturbations are scenarios, not distinct Ecopath inputs.</ns0:t>
            </ns0:r>
            <ns0:r>
              <ns0:t xml:space="preserve"> </ns0:t>
            </ns0:r>
            <ns0:hyperlink ns2:id="rId19">
              <ns0:r>
                <ns0:rPr>
                  <ns0:color ns0:val="0563C1"/>
                  <ns0:u ns0:val="single"/>
                </ns0:rPr>
                <ns0:t>Initial model</ns0:t>
              </ns0:r>
            </ns0:hyperlink>
            <ns0:r>
              <ns0:t xml:space="preserve"> | </ns0:t>
            </ns0:r>
            <ns0:hyperlink ns2:id="rId20">
              <ns0:r>
                <ns0:rPr>
                  <ns0:color ns0:val="0563C1"/>
                  <ns0:u ns0:val="single"/>
                </ns0:rPr>
                <ns0:t>Final source</ns0:t>
              </ns0:r>
            </ns0:hyperlink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Selection rationale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Article: ? — comparative article-selection reason is unrecorded. Model: the recorded selection adopts D_fixed_M0 to preserve juvenile other-mortality flows and improve juvenile production consistency. It remains a surrogate; Griffiths 2019 is deferred for investigation.</ns0:t>
            </ns0:r>
            <ns0:r>
              <ns0:t xml:space="preserve"> </ns0:t>
            </ns0:r>
            <ns0:hyperlink ns2:id="rId21">
              <ns0:r>
                <ns0:rPr>
                  <ns0:color ns0:val="0563C1"/>
                  <ns0:u ns0:val="single"/>
                </ns0:rPr>
                <ns0:t>Recorded rationale</ns0:t>
              </ns0:r>
            </ns0:hyperlink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Model extraction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Initial/final table scope is distinguished. Accepted Small BET/YFT P/B and EE differ from the paper. Source YFT/piscivorous diet sums 0.998/1.002 are normalized by the retained loader. GS exceptions are retained; missing BA is derived for 24 groups. Unknown baby/forage catch becomes runtime zero; detritus EE is forced to 1 and synthetic import is added. Native stanza dynamics are not reproduced.</ns0:t>
            </ns0:r>
            <ns0:r>
              <ns0:t xml:space="preserve"> </ns0:t>
            </ns0:r>
            <ns0:hyperlink ns2:id="rId22">
              <ns0:r>
                <ns0:rPr>
                  <ns0:color ns0:val="0563C1"/>
                  <ns0:u ns0:val="single"/>
                </ns0:rPr>
                <ns0:t>Source and runtime review</ns0:t>
              </ns0:r>
            </ns0:hyperlink>
            <ns0:r>
              <ns0:t xml:space="preserve"> | </ns0:t>
            </ns0:r>
            <ns0:hyperlink ns2:id="rId23">
              <ns0:r>
                <ns0:rPr>
                  <ns0:color ns0:val="0563C1"/>
                  <ns0:u ns0:val="single"/>
                </ns0:rPr>
                <ns0:t>Transformation ledger</ns0:t>
              </ns0:r>
            </ns0:hyperlink>
          </ns0:p>
          <ns0:p>
            <ns0:r>
              <ns0:t>Retained departures and evidence limits: </ns0:t>
            </ns0:r>
            <ns0:hyperlink ns2:id="rIdModelNotes">
              <ns0:r>
                <ns0:rPr>
                  <ns0:color ns0:val="0563C1"/>
                  <ns0:u ns0:val="single"/>
                </ns0:rPr>
                <ns0:t>model notes</ns0:t>
              </ns0:r>
            </ns0:hyperlink>
          </ns0:p>
        </ns0:tc>
      </ns0:tr>
      <ns0:tr>
        <ns0:trPr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SPPR calculation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rPr>
                <ns0:rFonts ns0:ascii="Calibri" ns0:hAnsi="Calibri"/>
                <ns0:sz ns0:val="21"/>
                <ns0:color ns0:val="000000"/>
              </ns0:rPr>
              <ns0:t xml:space="preserve">[MANUAL — Researcher: calculation choices and reasons]</ns0:t>
            </ns0:r>
          </ns0:p>
          <ns0:p>
            <ns0:pPr>
              <ns0:spacing ns0:after="40" ns0:before="0" ns0:line="240" ns0:lineRule="auto"/>
            </ns0:pPr>
            <ns0:r>
              <ns0:rPr>
                <ns0:rFonts ns0:ascii="Calibri" ns0:hAnsi="Calibri"/>
                <ns0:sz ns0:val="21"/>
                <ns0:color ns0:val="000000"/>
              </ns0:rPr>
              <ns0:t xml:space="preserve">[Excluded groups, scope and relevant values; other adjustments]</ns0:t>
            </ns0:r>
          </ns0:p>
        </ns0:tc>
      </ns0:tr>
    </ns0:tbl>
    <ns0:p>
      <ns0:pPr>
        <ns0:spacing ns0:after="40" ns0:before="0" ns0:line="240" ns0:lineRule="auto"/>
        <ns0:pageBreakBefore/>
      </ns0:pPr>
      <ns0:r>
        <ns0:rPr>
          <ns0:rFonts ns0:ascii="Calibri" ns0:hAnsi="Calibri"/>
          <ns0:sz ns0:val="2"/>
          <ns0:color ns0:val="000000"/>
        </ns0:rPr>
        <ns0:t xml:space="preserve"/>
      </ns0:r>
    </ns0:p>
    <ns0:tbl>
      <ns0:tblPr>
        <ns0:tblW ns0:type="auto" ns0:w="0"/>
        <ns0:jc ns0:val="center"/>
        <ns0:tblLayout ns0:type="fixed"/>
        <ns0:tblLook ns0:firstColumn="1" ns0:firstRow="1" ns0:lastColumn="0" ns0:lastRow="0" ns0:noHBand="0" ns0:noVBand="1" ns0:val="04A0"/>
      </ns0:tblPr>
      <ns0:tblGrid>
        <ns0:gridCol ns0:w="2203"/>
        <ns0:gridCol ns0:w="7834"/>
      </ns0:tblGrid>
      <ns0:tr>
        <ns0:trPr>
          <ns0:cantSplit/>
          <ns0:tblHeader/>
          <ns0:tblHeader/>
          <ns0:cantSplit/>
        </ns0:trPr>
        <ns0:tc>
          <ns0:tcPr>
            <ns0:tcW ns0:type="dxa" ns0:w="2203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Field</ns0:t>
            </ns0:r>
          </ns0:p>
        </ns0:tc>
        <ns0:tc>
          <ns0:tcPr>
            <ns0:tcW ns0:type="dxa" ns0:w="7834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rPr>
                <ns0:rFonts ns0:ascii="Calibri" ns0:hAnsi="Calibri"/>
                <ns0:sz ns0:val="21"/>
                <ns0:color ns0:val="000000"/>
                <ns0:b/>
              </ns0:rPr>
              <ns0:t xml:space="preserve">Entry</ns0:t>
            </ns0:r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GE diagnostics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No negative SPPR entries across the basal-source columns. rho_living = 0.54676655; b = 0.63691435; Detritus (31) SPPR = 2.58026100.</ns0:t>
            </ns0:r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TE diagnostics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No negative SPPR entries across the basal-source columns. rho_living = 0.82430628; Detritus (31) SPPR = 0.25250886.</ns0:t>
            </ns0:r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Geographic fit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Approximate A: 99.7% of the Gilbert Islands EEZ lies in the reported study rectangle. B: about 3.9–4.6% of the study area lies in this EEZ; the range reflects the published-area versus land-excluded coordinate-domain denominator. Broad pelagic overlap does not resolve coastal/reef-fish representativeness.</ns0:t>
            </ns0:r>
            <ns0:r>
              <ns0:t xml:space="preserve"> </ns0:t>
            </ns0:r>
            <ns0:hyperlink ns2:id="rId24">
              <ns0:r>
                <ns0:rPr>
                  <ns0:color ns0:val="0563C1"/>
                  <ns0:u ns0:val="single"/>
                </ns0:rPr>
                <ns0:t>Boundary estimate</ns0:t>
              </ns0:r>
            </ns0:hyperlink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Temporal fit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Mixed source inputs: skipjack/forage 1993–2002, yellowfin/bigeye/bycatch 1995–2004 and diet 2001–2007; 2005–2006 assessment editions are not model years. Fixed ecosystem coefficients and composition proxies are transferred across 1950–2019; the 2019 estimate is not an annual ecosystem reconstruction.</ns0:t>
            </ns0:r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Other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The accepted variant retains overall WARN and strict mass balance false (adult BET production residual ≈0.728%); PP-budget status is OK. Original source/native-model validity and author confirmation remain unestablished. Geographic coverage and nonnegative coefficients do not resolve these limitations.</ns0:t>
            </ns0:r>
            <ns0:r>
              <ns0:t xml:space="preserve"> </ns0:t>
            </ns0:r>
            <ns0:hyperlink ns2:id="rId25">
              <ns0:r>
                <ns0:rPr>
                  <ns0:color ns0:val="0563C1"/>
                  <ns0:u ns0:val="single"/>
                </ns0:rPr>
                <ns0:t>Exact diagnostic evidence</ns0:t>
              </ns0:r>
            </ns0:hyperlink>
          </ns0:p>
        </ns0:tc>
      </ns0:tr>
      <ns0:tr>
        <ns0:trPr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Open issues and next action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sz ns0:val="21"/>
              </ns0:rPr>
              <ns0:t>[Researcher: open issues and next actions]</ns0:t>
              <ns0:br/>
              <ns0:t/>
              <ns0:br/>
              <ns0:t/>
            </ns0:r>
          </ns0:p>
        </ns0:tc>
      </ns0:tr>
      <ns0:tr>
        <ns0:trPr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Review and reproducibility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sz ns0:val="21"/>
              </ns0:rPr>
              <ns0:t>Researcher name: [name] | review date: [date]</ns0:t>
              <ns0:br/>
              <ns0:t/>
              <ns0:br/>
              <ns0:t/>
              <ns0:br/>
              <ns0:t/>
            </ns0:r>
          </ns0:p>
        </ns0:tc>
      </ns0:tr>
    </ns0:tbl>
    <ns0:p>
      <ns0:pPr>
        <ns0:keepNext/>
        <ns0:pageBreakBefore/>
        <ns0:spacing ns0:after="120"/>
      </ns0:pPr>
      <ns0:r>
        <ns0:rPr>
          <ns0:rFonts ns0:ascii="Calibri" ns0:hAnsi="Calibri"/>
          <ns0:b/>
          <ns0:color ns0:val="000000"/>
          <ns0:sz ns0:val="30"/>
        </ns0:rPr>
        <ns0:t>Taxon mapping and coverage</ns0:t>
      </ns0:r>
    </ns0:p>
    <ns0:p>
      <ns0:pPr>
        <ns0:keepNext ns0:val="0"/>
        <ns0:pageBreakBefore ns0:val="0"/>
        <ns0:spacing ns0:after="120"/>
      </ns0:pPr>
      <ns0:r>
        <ns0:t>Reference: 2019 landings; all catch labels and source-group scope, including zero catch and unidentified categories.</ns0:t>
      </ns0:r>
    </ns0:p>
    <ns0:p>
      <ns0:pPr>
        <ns0:keepNext ns0:val="0"/>
        <ns0:pageBreakBefore ns0:val="0"/>
        <ns0:spacing ns0:after="120"/>
      </ns0:pPr>
      <ns0:r>
        <ns0:t>31 source ecological groups (+1 computational import); 63 catch labels.</ns0:t>
      </ns0:r>
    </ns0:p>
    <ns0:p>
      <ns0:pPr>
        <ns0:keepNext ns0:val="0"/>
        <ns0:pageBreakBefore ns0:val="0"/>
        <ns0:spacing ns0:after="120"/>
      </ns0:pPr>
      <ns0:r>
        <ns0:t>Simple-chain PPR totals 167,307,899.00 t C in 2019.</ns0:t>
      </ns0:r>
    </ns0:p>
    <ns0:p>
      <ns0:pPr>
        <ns0:keepNext ns0:val="0"/>
        <ns0:pageBreakBefore ns0:val="0"/>
        <ns0:spacing ns0:after="120"/>
      </ns0:pPr>
      <ns0:r>
        <ns0:t>25 labels lack a saved TL/coefficient. All have zero 2019 landings and therefore zero annual contribution; their missing inputs remain unknown.</ns0:t>
      </ns0:r>
    </ns0:p>
    <ns0:p>
      <ns0:pPr>
        <ns0:keepNext ns0:val="0"/>
        <ns0:pageBreakBefore ns0:val="0"/>
        <ns0:spacing ns0:after="120"/>
      </ns0:pPr>
      <ns0:r>
        <ns0:t>Method: independent simple trophic chain using saved classic taxon coefficients.</ns0:t>
      </ns0:r>
    </ns0:p>
    <ns0:p>
      <ns0:pPr>
        <ns0:keepNext ns0:val="0"/>
        <ns0:pageBreakBefore ns0:val="0"/>
        <ns0:spacing ns0:after="120"/>
      </ns0:pPr>
      <ns0:hyperlink ns2:id="rId26">
        <ns0:r>
          <ns0:rPr>
            <ns0:color ns0:val="0563C1"/>
            <ns0:u ns0:val="single"/>
          </ns0:rPr>
          <ns0:t>Taxon mapping appendix</ns0:t>
        </ns0:r>
      </ns0:hyperlink>
      <ns0:r>
        <ns0:t xml:space="preserve"> and </ns0:t>
      </ns0:r>
      <ns0:hyperlink ns2:id="rId27">
        <ns0:r>
          <ns0:rPr>
            <ns0:color ns0:val="0563C1"/>
            <ns0:u ns0:val="single"/>
          </ns0:rPr>
          <ns0:t>descriptive Sources sheet</ns0:t>
        </ns0:r>
      </ns0:hyperlink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3888"/>
        <ns0:gridCol ns0:w="1440"/>
        <ns0:gridCol ns0:w="2304"/>
        <ns0:gridCol ns0:w="2376"/>
      </ns0:tblGrid>
      <ns0:tr>
        <ns0:trPr>
          <ns0:tblHeader/>
          <ns0:cantSplit/>
          <ns0:tblHeader/>
          <ns0:cantSplit/>
        </ns0:trPr>
        <ns0:tc>
          <ns0:tcPr>
            <ns0:tcW ns0:type="dxa" ns0:w="3888"/>
            <ns0:shd ns0:fill="DDE9EE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rPr>
                <ns0:rFonts ns0:ascii="Calibri" ns0:hAnsi="Calibri"/>
                <ns0:b/>
                <ns0:color ns0:val="000000"/>
                <ns0:sz ns0:val="20"/>
              </ns0:rPr>
              <ns0:t>Overall confidence</ns0:t>
            </ns0:r>
          </ns0:p>
        </ns0:tc>
        <ns0:tc>
          <ns0:tcPr>
            <ns0:tcW ns0:type="dxa" ns0:w="1440"/>
            <ns0:shd ns0:fill="DDE9EE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rPr>
                <ns0:rFonts ns0:ascii="Calibri" ns0:hAnsi="Calibri"/>
                <ns0:b/>
                <ns0:color ns0:val="000000"/>
                <ns0:sz ns0:val="20"/>
              </ns0:rPr>
              <ns0:t>Taxa</ns0:t>
            </ns0:r>
          </ns0:p>
        </ns0:tc>
        <ns0:tc>
          <ns0:tcPr>
            <ns0:tcW ns0:type="dxa" ns0:w="2304"/>
            <ns0:shd ns0:fill="DDE9EE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rPr>
                <ns0:rFonts ns0:ascii="Calibri" ns0:hAnsi="Calibri"/>
                <ns0:b/>
                <ns0:color ns0:val="000000"/>
                <ns0:sz ns0:val="20"/>
              </ns0:rPr>
              <ns0:t>Catch percentage</ns0:t>
            </ns0:r>
          </ns0:p>
        </ns0:tc>
        <ns0:tc>
          <ns0:tcPr>
            <ns0:tcW ns0:type="dxa" ns0:w="2376"/>
            <ns0:shd ns0:fill="DDE9EE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rPr>
                <ns0:rFonts ns0:ascii="Calibri" ns0:hAnsi="Calibri"/>
                <ns0:b/>
                <ns0:color ns0:val="000000"/>
                <ns0:sz ns0:val="20"/>
              </ns0:rPr>
              <ns0:t>PPR percentage</ns0:t>
            </ns0:r>
          </ns0:p>
        </ns0:tc>
      </ns0:tr>
      <ns0:tr>
        <ns0:trPr>
          <ns0:cantSplit/>
          <ns0:cantSplit/>
        </ns0:trPr>
        <ns0:tc>
          <ns0:tcPr>
            <ns0:tcW ns0:type="dxa" ns0:w="3888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High</ns0:t>
            </ns0:r>
          </ns0:p>
        </ns0:tc>
        <ns0:tc>
          <ns0:tcPr>
            <ns0:tcW ns0:type="dxa" ns0:w="1440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2</ns0:t>
            </ns0:r>
          </ns0:p>
        </ns0:tc>
        <ns0:tc>
          <ns0:tcPr>
            <ns0:tcW ns0:type="dxa" ns0:w="230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0.0000%</ns0:t>
            </ns0:r>
          </ns0:p>
        </ns0:tc>
        <ns0:tc>
          <ns0:tcPr>
            <ns0:tcW ns0:type="dxa" ns0:w="2376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0.0000%</ns0:t>
            </ns0:r>
          </ns0:p>
        </ns0:tc>
      </ns0:tr>
      <ns0:tr>
        <ns0:trPr>
          <ns0:cantSplit/>
          <ns0:cantSplit/>
        </ns0:trPr>
        <ns0:tc>
          <ns0:tcPr>
            <ns0:tcW ns0:type="dxa" ns0:w="3888"/>
            <ns0:shd ns0:fill="F5F7F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Medium</ns0:t>
            </ns0:r>
          </ns0:p>
        </ns0:tc>
        <ns0:tc>
          <ns0:tcPr>
            <ns0:tcW ns0:type="dxa" ns0:w="1440"/>
            <ns0:shd ns0:fill="F5F7F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26</ns0:t>
            </ns0:r>
          </ns0:p>
        </ns0:tc>
        <ns0:tc>
          <ns0:tcPr>
            <ns0:tcW ns0:type="dxa" ns0:w="2304"/>
            <ns0:shd ns0:fill="F5F7F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98.5322%</ns0:t>
            </ns0:r>
          </ns0:p>
        </ns0:tc>
        <ns0:tc>
          <ns0:tcPr>
            <ns0:tcW ns0:type="dxa" ns0:w="2376"/>
            <ns0:shd ns0:fill="F5F7F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99.5490%</ns0:t>
            </ns0:r>
          </ns0:p>
        </ns0:tc>
      </ns0:tr>
      <ns0:tr>
        <ns0:trPr>
          <ns0:cantSplit/>
          <ns0:cantSplit/>
        </ns0:trPr>
        <ns0:tc>
          <ns0:tcPr>
            <ns0:tcW ns0:type="dxa" ns0:w="3888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Low</ns0:t>
            </ns0:r>
          </ns0:p>
        </ns0:tc>
        <ns0:tc>
          <ns0:tcPr>
            <ns0:tcW ns0:type="dxa" ns0:w="1440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6</ns0:t>
            </ns0:r>
          </ns0:p>
        </ns0:tc>
        <ns0:tc>
          <ns0:tcPr>
            <ns0:tcW ns0:type="dxa" ns0:w="230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0.1778%</ns0:t>
            </ns0:r>
          </ns0:p>
        </ns0:tc>
        <ns0:tc>
          <ns0:tcPr>
            <ns0:tcW ns0:type="dxa" ns0:w="2376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0.0341%</ns0:t>
            </ns0:r>
          </ns0:p>
        </ns0:tc>
      </ns0:tr>
      <ns0:tr>
        <ns0:trPr>
          <ns0:cantSplit/>
          <ns0:cantSplit/>
        </ns0:trPr>
        <ns0:tc>
          <ns0:tcPr>
            <ns0:tcW ns0:type="dxa" ns0:w="3888"/>
            <ns0:shd ns0:fill="F5F7F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Very low</ns0:t>
            </ns0:r>
          </ns0:p>
        </ns0:tc>
        <ns0:tc>
          <ns0:tcPr>
            <ns0:tcW ns0:type="dxa" ns0:w="1440"/>
            <ns0:shd ns0:fill="F5F7F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27</ns0:t>
            </ns0:r>
          </ns0:p>
        </ns0:tc>
        <ns0:tc>
          <ns0:tcPr>
            <ns0:tcW ns0:type="dxa" ns0:w="2304"/>
            <ns0:shd ns0:fill="F5F7F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1.2901%</ns0:t>
            </ns0:r>
          </ns0:p>
        </ns0:tc>
        <ns0:tc>
          <ns0:tcPr>
            <ns0:tcW ns0:type="dxa" ns0:w="2376"/>
            <ns0:shd ns0:fill="F5F7F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0.4170%</ns0:t>
            </ns0:r>
          </ns0:p>
        </ns0:tc>
      </ns0:tr>
      <ns0:tr>
        <ns0:trPr>
          <ns0:cantSplit/>
          <ns0:cantSplit/>
        </ns0:trPr>
        <ns0:tc>
          <ns0:tcPr>
            <ns0:tcW ns0:type="dxa" ns0:w="3888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Unresolved</ns0:t>
            </ns0:r>
          </ns0:p>
        </ns0:tc>
        <ns0:tc>
          <ns0:tcPr>
            <ns0:tcW ns0:type="dxa" ns0:w="1440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2</ns0:t>
            </ns0:r>
          </ns0:p>
        </ns0:tc>
        <ns0:tc>
          <ns0:tcPr>
            <ns0:tcW ns0:type="dxa" ns0:w="230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0.0000%</ns0:t>
            </ns0:r>
          </ns0:p>
        </ns0:tc>
        <ns0:tc>
          <ns0:tcPr>
            <ns0:tcW ns0:type="dxa" ns0:w="2376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0.0000%</ns0:t>
            </ns0:r>
          </ns0:p>
        </ns0:tc>
      </ns0:tr>
    </ns0:tbl>
    <ns0:p>
      <ns0:pPr>
        <ns0:keepNext ns0:val="0"/>
        <ns0:pageBreakBefore ns0:val="0"/>
        <ns0:spacing ns0:after="120"/>
      </ns0:pPr>
      <ns0:r>
        <ns0:rPr>
          <ns0:rFonts ns0:ascii="Calibri" ns0:hAnsi="Calibri"/>
          <ns0:b ns0:val="0"/>
          <ns0:color ns0:val="000000"/>
          <ns0:sz ns0:val="21"/>
        </ns0:rPr>
        <ns0:t>The summary uses the weaker required membership or allocation confidence. The following tables show each component separately.</ns0:t>
      </ns0:r>
    </ns0:p>
    <ns0:p>
      <ns0:pPr>
        <ns0:keepNext/>
        <ns0:pageBreakBefore ns0:val="0"/>
        <ns0:spacing ns0:after="120"/>
      </ns0:pPr>
      <ns0:r>
        <ns0:rPr>
          <ns0:rFonts ns0:ascii="Calibri" ns0:hAnsi="Calibri"/>
          <ns0:b/>
          <ns0:color ns0:val="000000"/>
          <ns0:sz ns0:val="23"/>
        </ns0:rPr>
        <ns0:t>Group assignment rules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6624"/>
        <ns0:gridCol ns0:w="1512"/>
        <ns0:gridCol ns0:w="1872"/>
      </ns0:tblGrid>
      <ns0:tr>
        <ns0:trPr>
          <ns0:tblHeader/>
          <ns0:cantSplit/>
          <ns0:tblHeader/>
          <ns0:cantSplit/>
        </ns0:trPr>
        <ns0:tc>
          <ns0:tcPr>
            <ns0:tcW ns0:type="dxa" ns0:w="6624"/>
            <ns0:shd ns0:fill="DDE9EE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rPr>
                <ns0:rFonts ns0:ascii="Calibri" ns0:hAnsi="Calibri"/>
                <ns0:b/>
                <ns0:color ns0:val="000000"/>
                <ns0:sz ns0:val="20"/>
              </ns0:rPr>
              <ns0:t>Plain-language rule</ns0:t>
            </ns0:r>
          </ns0:p>
        </ns0:tc>
        <ns0:tc>
          <ns0:tcPr>
            <ns0:tcW ns0:type="dxa" ns0:w="1512"/>
            <ns0:shd ns0:fill="DDE9EE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rPr>
                <ns0:rFonts ns0:ascii="Calibri" ns0:hAnsi="Calibri"/>
                <ns0:b/>
                <ns0:color ns0:val="000000"/>
                <ns0:sz ns0:val="20"/>
              </ns0:rPr>
              <ns0:t>Confidence</ns0:t>
            </ns0:r>
          </ns0:p>
        </ns0:tc>
        <ns0:tc>
          <ns0:tcPr>
            <ns0:tcW ns0:type="dxa" ns0:w="1872"/>
            <ns0:shd ns0:fill="DDE9EE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rPr>
                <ns0:rFonts ns0:ascii="Calibri" ns0:hAnsi="Calibri"/>
                <ns0:b/>
                <ns0:color ns0:val="000000"/>
                <ns0:sz ns0:val="20"/>
              </ns0:rPr>
              <ns0:t>PPR percentage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Explicit final source membership in the group or stage union.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High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99.3960%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Weak usable taxonomic/functional analogue; habitat/stage mismatch.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Very low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0.3865%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Documented family identity fits the complete source group set.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High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0.0815%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Verified historical/current synonym fits the named source stages.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High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0.0388%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Source lineage partly fits the habitat or stage definition.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Low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0.0341%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Broad catch label uses an assumed represented-pool composition.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Very low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0.0304%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Supported candidate set requires an explicit membership inference.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Medium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0.0293%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Supported ecological extension for an unlisted pelagic piscivore.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Medium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0.0033%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Related small-pelagic taxa extend final listed representatives.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Medium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0.0002%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No meaningful taxonomic/feeding guild or usable analogue.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Unresolved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0.0000%</ns0:t>
            </ns0:r>
          </ns0:p>
        </ns0:tc>
      </ns0:tr>
    </ns0:tbl>
    <ns0:p>
      <ns0:pPr>
        <ns0:keepNext ns0:val="0"/>
        <ns0:pageBreakBefore ns0:val="0"/>
        <ns0:spacing ns0:after="120"/>
      </ns0:pPr>
      <ns0:r>
        <ns0:t xml:space="preserve">Membership evidence: </ns0:t>
      </ns0:r>
      <ns0:hyperlink ns2:id="rId28">
        <ns0:r>
          <ns0:rPr>
            <ns0:color ns0:val="0563C1"/>
            <ns0:u ns0:val="single"/>
          </ns0:rPr>
          <ns0:t>final source definitions and taxonomic/ecological review</ns0:t>
        </ns0:r>
      </ns0:hyperlink>
    </ns0:p>
    <ns0:p>
      <ns0:pPr>
        <ns0:keepNext/>
        <ns0:pageBreakBefore/>
        <ns0:spacing ns0:after="120"/>
      </ns0:pPr>
      <ns0:r>
        <ns0:rPr>
          <ns0:rFonts ns0:ascii="Calibri" ns0:hAnsi="Calibri"/>
          <ns0:b/>
          <ns0:color ns0:val="000000"/>
          <ns0:sz ns0:val="23"/>
        </ns0:rPr>
        <ns0:t>Allocation weight rules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6624"/>
        <ns0:gridCol ns0:w="1512"/>
        <ns0:gridCol ns0:w="1872"/>
      </ns0:tblGrid>
      <ns0:tr>
        <ns0:trPr>
          <ns0:tblHeader/>
          <ns0:cantSplit/>
          <ns0:tblHeader/>
          <ns0:cantSplit/>
        </ns0:trPr>
        <ns0:tc>
          <ns0:tcPr>
            <ns0:tcW ns0:type="dxa" ns0:w="6624"/>
            <ns0:shd ns0:fill="DDE9EE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rPr>
                <ns0:rFonts ns0:ascii="Calibri" ns0:hAnsi="Calibri"/>
                <ns0:b/>
                <ns0:color ns0:val="000000"/>
                <ns0:sz ns0:val="20"/>
              </ns0:rPr>
              <ns0:t>Plain-language rule</ns0:t>
            </ns0:r>
          </ns0:p>
        </ns0:tc>
        <ns0:tc>
          <ns0:tcPr>
            <ns0:tcW ns0:type="dxa" ns0:w="1512"/>
            <ns0:shd ns0:fill="DDE9EE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rPr>
                <ns0:rFonts ns0:ascii="Calibri" ns0:hAnsi="Calibri"/>
                <ns0:b/>
                <ns0:color ns0:val="000000"/>
                <ns0:sz ns0:val="20"/>
              </ns0:rPr>
              <ns0:t>Confidence</ns0:t>
            </ns0:r>
          </ns0:p>
        </ns0:tc>
        <ns0:tc>
          <ns0:tcPr>
            <ns0:tcW ns0:type="dxa" ns0:w="1872"/>
            <ns0:shd ns0:fill="DDE9EE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rPr>
                <ns0:rFonts ns0:ascii="Calibri" ns0:hAnsi="Calibri"/>
                <ns0:b/>
                <ns0:color ns0:val="000000"/>
                <ns0:sz ns0:val="20"/>
              </ns0:rPr>
              <ns0:t>PPR percentage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Historical source landings proportions supply an assumed regional composition; genuine zeros and the accepted infant exception are explicit.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Medium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99.8200%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Incomplete raw source catch rejects the catch proxy; complete biomass proportions assume regional composition/catchability.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Medium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0.1767%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One eligible group receives the entire taxon; this adds no allocation uncertainty.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High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0.0033%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No eligible compartment supplies a numerical allocation.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Unresolved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0.0000%</ns0:t>
            </ns0:r>
          </ns0:p>
        </ns0:tc>
      </ns0:tr>
    </ns0:tbl>
    <ns0:p>
      <ns0:pPr>
        <ns0:keepNext ns0:val="0"/>
        <ns0:pageBreakBefore ns0:val="0"/>
        <ns0:spacing ns0:after="120"/>
      </ns0:pPr>
      <ns0:r>
        <ns0:t xml:space="preserve">Each percentage is the simple-chain PPR associated with taxa using that rule. Weights and assumptions: </ns0:t>
      </ns0:r>
      <ns0:hyperlink ns2:id="rId29">
        <ns0:r>
          <ns0:rPr>
            <ns0:color ns0:val="0563C1"/>
            <ns0:u ns0:val="single"/>
          </ns0:rPr>
          <ns0:t>candidate/catch/biomass evidence</ns0:t>
        </ns0:r>
      </ns0:hyperlink>
    </ns0:p>
    <ns0:p>
      <ns0:pPr>
        <ns0:keepNext ns0:val="0"/>
        <ns0:pageBreakBefore ns0:val="0"/>
        <ns0:spacing ns0:after="120"/>
      </ns0:pPr>
      <ns0:r>
        <ns0:t>Unresolved: Bivalvia and Echinodermata — no meaningful represented feeding/taxonomic guild; both have zero 2019 catch. Very low: broad marine fish/shark/crustacean/mollusc categories and closest coastal, octopod or unlisted-tuna analogues; all 27 exact labels are flagged in the appendix. They account for 1.2901% of landings and 0.4170% of simple-chain PPR.</ns0:t>
      </ns0:r>
      <ns0:r>
        <ns0:t xml:space="preserve"> The two residual marine-fish labels now use all 17 source-defined bony-fish pools, including named tuna and billfish stages. Dedicated sharks are excluded; mixed bathyal pools remain an uncertain whole-biomass proxy. Missing source exports require complete biomass allocation (W9, Medium); residual composition and transfer remain Very low. Independent simple-chain confidence shares above are unchanged; model-method contributions are recalculated. </ns0:t>
      </ns0:r>
      <ns0:hyperlink ns2:id="rId38">
        <ns0:r>
          <ns0:rPr>
            <ns0:color ns0:val="0563C1"/>
            <ns0:u ns0:val="single"/>
          </ns0:rPr>
          <ns0:t>Reporting scope evidence</ns0:t>
        </ns0:r>
      </ns0:hyperlink>
    </ns0:p>
    <ns0:p>
      <ns0:pPr>
        <ns0:pStyle ns0:val="Title"/>
        <ns0:pageBreakBefore/>
        <ns0:keepNext/>
        <ns0:pageBreakBefore/>
      </ns0:pPr>
      <ns0:r>
        <ns0:t>Geographic evidence screenshots</ns0:t>
      </ns0:r>
    </ns0:p>
    <ns0:p>
      <ns0:pPr>
        <ns0:spacing ns0:after="40" ns0:before="0" ns0:line="240" ns0:lineRule="auto"/>
      </ns0:pPr>
      <ns0:r>
        <ns0:t>Target region R and selected model study area S. Approximate WGS84 boundary comparison with consistent land exclusion; the reported model area gives an alternate B denominator.</ns0:t>
      </ns0:r>
    </ns0:p>
    <ns0:p>
      <ns0:pPr>
        <ns0:pStyle ns0:val="Heading2"/>
        <ns0:keepNext/>
      </ns0:pPr>
      <ns0:r>
        <ns0:t>Region area</ns0:t>
      </ns0:r>
    </ns0:p>
    <ns0:tbl>
      <ns0:tblPr>
        <ns0:tblW ns0:type="auto" ns0:w="0"/>
        <ns0:jc ns0:val="center"/>
        <ns0:tblLayout ns0:type="fixed"/>
        <ns0:tblLook ns0:firstColumn="1" ns0:firstRow="1" ns0:lastColumn="0" ns0:lastRow="0" ns0:noHBand="0" ns0:noVBand="1" ns0:val="04A0"/>
      </ns0:tblPr>
      <ns0:tblGrid>
        <ns0:gridCol ns0:w="10037"/>
      </ns0:tblGrid>
      <ns0:tr>
        <ns0:trPr>
          <ns0:cantSplit/>
          <ns0:tblHeader/>
          <ns0:tblHeader/>
          <ns0:cantSplit/>
        </ns0:trPr>
        <ns0:tc>
          <ns0:tcPr>
            <ns0:tcW ns0:type="dxa" ns0:w="10037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t>Kiribati (Gilbert Islands) EEZ_941</ns0:t>
            </ns0:r>
          </ns0:p>
        </ns0:tc>
      </ns0:tr>
      <ns0:tr>
        <ns0:trPr>
          <ns0:cantSplit/>
          <ns0:trHeight ns0:val="2880" ns0:hRule="atLeast"/>
          <ns0:cantSplit/>
        </ns0:trPr>
        <ns0:tc>
          <ns0:tcPr>
            <ns0:tcW ns0:type="dxa" ns0:w="10037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/>
              <ns0:spacing ns0:after="40" ns0:before="0" ns0:line="240" ns0:lineRule="auto"/>
            </ns0:pPr>
            <ns0:r/>
            <ns0:r>
              <ns0:drawing>
                <ns3:inline>
                  <ns3:extent cx="5943600" cy="3235960"/>
                  <ns3:docPr id="1" name="Picture 1"/>
                  <ns3:cNvGraphicFramePr>
                    <ns4:graphicFrameLocks noChangeAspect="1"/>
                  </ns3:cNvGraphicFramePr>
                  <ns4:graphic>
                    <ns4:graphicData uri="http://schemas.openxmlformats.org/drawingml/2006/picture">
                      <ns5:pic>
                        <ns5:nvPicPr>
                          <ns5:cNvPr id="0" name="region_boundary.png"/>
                          <ns5:cNvPicPr/>
                        </ns5:nvPicPr>
                        <ns5:blipFill>
                          <ns4:blip ns2:embed="rId30"/>
                          <ns4:stretch>
                            <ns4:fillRect/>
                          </ns4:stretch>
                        </ns5:blipFill>
                        <ns5:spPr>
                          <ns4:xfrm>
                            <ns4:off x="0" y="0"/>
                            <ns4:ext cx="5943600" cy="3235960"/>
                          </ns4:xfrm>
                          <ns4:prstGeom prst="rect"/>
                        </ns5:spPr>
                      </ns5:pic>
                    </ns4:graphicData>
                  </ns4:graphic>
                </ns3:inline>
              </ns0:drawing>
            </ns0:r>
          </ns0:p>
        </ns0:tc>
      </ns0:tr>
    </ns0:tbl>
    <ns0:p>
      <ns0:pPr>
        <ns0:spacing ns0:after="40" ns0:before="0" ns0:line="240" ns0:lineRule="auto"/>
      </ns0:pPr>
      <ns0:r>
        <ns0:t xml:space="preserve">Gilbert Islands EEZ boundary: repaired repository Sea Around Us polygon; Natural Earth 1:50m land. </ns0:t>
      </ns0:r>
      <ns0:r>
        <ns0:t xml:space="preserve"> </ns0:t>
      </ns0:r>
      <ns0:hyperlink ns2:id="rId32">
        <ns0:r>
          <ns0:rPr>
            <ns0:color ns0:val="0563C1"/>
            <ns0:u ns0:val="single"/>
          </ns0:rPr>
          <ns0:t>Boundary source</ns0:t>
        </ns0:r>
      </ns0:hyperlink>
      <ns0:r>
        <ns0:t xml:space="preserve"> | </ns0:t>
      </ns0:r>
      <ns0:hyperlink ns2:id="rId33">
        <ns0:r>
          <ns0:rPr>
            <ns0:color ns0:val="0563C1"/>
            <ns0:u ns0:val="single"/>
          </ns0:rPr>
          <ns0:t>Image</ns0:t>
        </ns0:r>
      </ns0:hyperlink>
    </ns0:p>
    <ns0:p>
      <ns0:pPr>
        <ns0:pStyle ns0:val="Heading2"/>
        <ns0:keepNext/>
        <ns0:pageBreakBefore/>
      </ns0:pPr>
      <ns0:r>
        <ns0:t>Study area in the article</ns0:t>
      </ns0:r>
    </ns0:p>
    <ns0:tbl>
      <ns0:tblPr>
        <ns0:tblW ns0:type="auto" ns0:w="0"/>
        <ns0:jc ns0:val="center"/>
        <ns0:tblLayout ns0:type="fixed"/>
        <ns0:tblLook ns0:firstColumn="1" ns0:firstRow="1" ns0:lastColumn="0" ns0:lastRow="0" ns0:noHBand="0" ns0:noVBand="1" ns0:val="04A0"/>
      </ns0:tblPr>
      <ns0:tblGrid>
        <ns0:gridCol ns0:w="10037"/>
      </ns0:tblGrid>
      <ns0:tr>
        <ns0:trPr>
          <ns0:cantSplit/>
          <ns0:tblHeader/>
          <ns0:tblHeader/>
          <ns0:cantSplit/>
        </ns0:trPr>
        <ns0:tc>
          <ns0:tcPr>
            <ns0:tcW ns0:type="dxa" ns0:w="10037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t>Study rectangle from Allain et al. (2007), Section 2.2 PDF7</ns0:t>
            </ns0:r>
          </ns0:p>
        </ns0:tc>
      </ns0:tr>
      <ns0:tr>
        <ns0:trPr>
          <ns0:cantSplit/>
          <ns0:trHeight ns0:val="2880" ns0:hRule="atLeast"/>
          <ns0:cantSplit/>
        </ns0:trPr>
        <ns0:tc>
          <ns0:tcPr>
            <ns0:tcW ns0:type="dxa" ns0:w="10037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/>
              <ns0:spacing ns0:after="40" ns0:before="0" ns0:line="240" ns0:lineRule="auto"/>
            </ns0:pPr>
            <ns0:r/>
            <ns0:r>
              <ns0:drawing>
                <ns3:inline>
                  <ns3:extent cx="5943600" cy="3235960"/>
                  <ns3:docPr id="2" name="Picture 2"/>
                  <ns3:cNvGraphicFramePr>
                    <ns4:graphicFrameLocks noChangeAspect="1"/>
                  </ns3:cNvGraphicFramePr>
                  <ns4:graphic>
                    <ns4:graphicData uri="http://schemas.openxmlformats.org/drawingml/2006/picture">
                      <ns5:pic>
                        <ns5:nvPicPr>
                          <ns5:cNvPr id="0" name="study_domain.png"/>
                          <ns5:cNvPicPr/>
                        </ns5:nvPicPr>
                        <ns5:blipFill>
                          <ns4:blip ns2:embed="rId31"/>
                          <ns4:stretch>
                            <ns4:fillRect/>
                          </ns4:stretch>
                        </ns5:blipFill>
                        <ns5:spPr>
                          <ns4:xfrm>
                            <ns4:off x="0" y="0"/>
                            <ns4:ext cx="5943600" cy="3235960"/>
                          </ns4:xfrm>
                          <ns4:prstGeom prst="rect"/>
                        </ns5:spPr>
                      </ns5:pic>
                    </ns4:graphicData>
                  </ns4:graphic>
                </ns3:inline>
              </ns0:drawing>
            </ns0:r>
          </ns0:p>
        </ns0:tc>
      </ns0:tr>
    </ns0:tbl>
    <ns0:p>
      <ns0:pPr>
        <ns0:spacing ns0:after="40" ns0:before="0" ns0:line="240" ns0:lineRule="auto"/>
      </ns0:pPr>
      <ns0:r>
        <ns0:t xml:space="preserve">Reported bounds: 110–180°E, 15°S–15°N; reconstructed study boundary. Figure 1 PDF3 shows the broader warm-pool/cold-tongue context. </ns0:t>
      </ns0:r>
      <ns0:r>
        <ns0:t xml:space="preserve"> </ns0:t>
      </ns0:r>
      <ns0:hyperlink ns2:id="rId34">
        <ns0:r>
          <ns0:rPr>
            <ns0:color ns0:val="0563C1"/>
            <ns0:u ns0:val="single"/>
          </ns0:rPr>
          <ns0:t>Source PDF7</ns0:t>
        </ns0:r>
      </ns0:hyperlink>
      <ns0:r>
        <ns0:t xml:space="preserve"> | </ns0:t>
      </ns0:r>
      <ns0:hyperlink ns2:id="rId35">
        <ns0:r>
          <ns0:rPr>
            <ns0:color ns0:val="0563C1"/>
            <ns0:u ns0:val="single"/>
          </ns0:rPr>
          <ns0:t>Source Figure 1</ns0:t>
        </ns0:r>
      </ns0:hyperlink>
      <ns0:r>
        <ns0:t xml:space="preserve"> | </ns0:t>
      </ns0:r>
      <ns0:hyperlink ns2:id="rId36">
        <ns0:r>
          <ns0:rPr>
            <ns0:color ns0:val="0563C1"/>
            <ns0:u ns0:val="single"/>
          </ns0:rPr>
          <ns0:t>Image</ns0:t>
        </ns0:r>
      </ns0:hyperlink>
    </ns0:p>
    <ns0:p>
      <ns0:pPr>
        <ns0:spacing ns0:after="40" ns0:before="0" ns0:line="240" ns0:lineRule="auto"/>
      </ns0:pPr>
      <ns0:r>
        <ns0:drawing>
          <ns3:inline>
            <ns3:extent cx="5943600" cy="2701636"/>
            <ns3:docPr id="3" name="Picture 3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0" name="article_figure1_crop.png"/>
                    <ns5:cNvPicPr/>
                  </ns5:nvPicPr>
                  <ns5:blipFill>
                    <ns4:blip ns2:embed="rId37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5943600" cy="2701636"/>
                    </ns4:xfrm>
                    <ns4:prstGeom prst="rect"/>
                  </ns5:spPr>
                </ns5:pic>
              </ns4:graphicData>
            </ns4:graphic>
          </ns3:inline>
        </ns0:drawing>
      </ns0:r>
    </ns0:p>
    <ns0:sectPr ns0:rsidR="00FC693F" ns0:rsidRPr="0006063C" ns0:rsidSect="00034616">
      <ns0:type ns0:val="nextPage"/>
      <ns0:pgSz ns0:w="11909" ns0:h="16834"/>
      <ns0:pgMar ns0:top="936" ns0:right="936" ns0:bottom="936" ns0:left="936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styles" Target="styles.xml" /><ns0:Relationship Id="rId4" Type="http://schemas.microsoft.com/office/2007/relationships/stylesWithEffects" Target="stylesWithEffects.xml" /><ns0:Relationship Id="rId5" Type="http://schemas.openxmlformats.org/officeDocument/2006/relationships/settings" Target="settings.xml" /><ns0:Relationship Id="rId6" Type="http://schemas.openxmlformats.org/officeDocument/2006/relationships/webSettings" Target="webSettings.xml" /><ns0:Relationship Id="rId7" Type="http://schemas.openxmlformats.org/officeDocument/2006/relationships/fontTable" Target="fontTable.xml" /><ns0:Relationship Id="rId8" Type="http://schemas.openxmlformats.org/officeDocument/2006/relationships/theme" Target="theme/theme1.xml" /><ns0:Relationship Id="rId1" Type="http://schemas.openxmlformats.org/officeDocument/2006/relationships/customXml" Target="../customXml/item1.xml" /><ns0:Relationship Id="rId2" Type="http://schemas.openxmlformats.org/officeDocument/2006/relationships/numbering" Target="numbering.xml" /><ns0:Relationship Id="rIdValidation1" Type="http://schemas.openxmlformats.org/officeDocument/2006/relationships/hyperlink" Target="[Excel_appendix.xlsx]" TargetMode="External" /><ns0:Relationship Id="rId9" Type="http://schemas.openxmlformats.org/officeDocument/2006/relationships/hyperlink" Target="../../../../../EEZ_941.xlsx" TargetMode="External" /><ns0:Relationship Id="rId10" Type="http://schemas.openxmlformats.org/officeDocument/2006/relationships/hyperlink" Target="../../../../../../../EEZ_941/raw" TargetMode="External" /><ns0:Relationship Id="rId11" Type="http://schemas.openxmlformats.org/officeDocument/2006/relationships/hyperlink" Target="../../../sources/download-0adcf55e.pdf" TargetMode="External" /><ns0:Relationship Id="rId12" Type="http://schemas.openxmlformats.org/officeDocument/2006/relationships/hyperlink" Target="https://meetings.wcpfc.int/node/6157" TargetMode="External" /><ns0:Relationship Id="rId13" Type="http://schemas.openxmlformats.org/officeDocument/2006/relationships/hyperlink" Target="../../.." TargetMode="External" /><ns0:Relationship Id="rId14" Type="http://schemas.openxmlformats.org/officeDocument/2006/relationships/hyperlink" Target="https://doi.org/10.1111/fog.12389" TargetMode="External" /><ns0:Relationship Id="rId15" Type="http://schemas.openxmlformats.org/officeDocument/2006/relationships/hyperlink" Target="../../../../Griffiths-2019" TargetMode="External" /><ns0:Relationship Id="rId16" Type="http://schemas.openxmlformats.org/officeDocument/2006/relationships/hyperlink" Target="../model_notes.md#removed-extraction-evidence" TargetMode="External" /><ns0:Relationship Id="rId17" Type="http://schemas.openxmlformats.org/officeDocument/2006/relationships/hyperlink" Target=".." TargetMode="External" /><ns0:Relationship Id="rId18" Type="http://schemas.openxmlformats.org/officeDocument/2006/relationships/hyperlink" Target="evidence/source_review/evidence/2026-09-28_integration/loaded_state.json" TargetMode="External" /><ns0:Relationship Id="rId19" Type="http://schemas.openxmlformats.org/officeDocument/2006/relationships/hyperlink" Target="../../941_200702_WCPO_Warm_Pool_Initial_(mixed_periods)" TargetMode="External" /><ns0:Relationship Id="rId20" Type="http://schemas.openxmlformats.org/officeDocument/2006/relationships/hyperlink" Target="../../941_200701_WCPO_Warm_Pool_Final_(mixed_periods)" TargetMode="External" /><ns0:Relationship Id="rId21" Type="http://schemas.openxmlformats.org/officeDocument/2006/relationships/hyperlink" Target="../extracted_tables/evidence/SELECTION_REPORT.md" TargetMode="External" /><ns0:Relationship Id="rId22" Type="http://schemas.openxmlformats.org/officeDocument/2006/relationships/hyperlink" Target="evidence/source_review/source_review.md#source-layers-and-scientific-limitations" TargetMode="External" /><ns0:Relationship Id="rId23" Type="http://schemas.openxmlformats.org/officeDocument/2006/relationships/hyperlink" Target="evidence/source_review/evidence/2026-09-28_integration/transformation_ledger.json" TargetMode="External" /><ns0:Relationship Id="rId24" Type="http://schemas.openxmlformats.org/officeDocument/2006/relationships/hyperlink" Target="evidence/source_review/geographic_estimate.json" TargetMode="External" /><ns0:Relationship Id="rId25" Type="http://schemas.openxmlformats.org/officeDocument/2006/relationships/hyperlink" Target="evidence/source_review/diagnostics_verification.json" TargetMode="External" /><ns0:Relationship Id="rId26" Type="http://schemas.openxmlformats.org/officeDocument/2006/relationships/hyperlink" Target="taxon_mapping.xlsx" TargetMode="External" /><ns0:Relationship Id="rId27" Type="http://schemas.openxmlformats.org/officeDocument/2006/relationships/hyperlink" Target="taxon_mapping.xlsx#Sources%21A1" TargetMode="External" /><ns0:Relationship Id="rId28" Type="http://schemas.openxmlformats.org/officeDocument/2006/relationships/hyperlink" Target="evidence/source_review/source_review.md#membership-and-reporting-scope" TargetMode="External" /><ns0:Relationship Id="rId29" Type="http://schemas.openxmlformats.org/officeDocument/2006/relationships/hyperlink" Target="evidence/source_review/source_review.md#stage-allocation" TargetMode="External" /><ns0:Relationship Id="rId30" Type="http://schemas.openxmlformats.org/officeDocument/2006/relationships/image" Target="media/image1.png" /><ns0:Relationship Id="rId31" Type="http://schemas.openxmlformats.org/officeDocument/2006/relationships/image" Target="media/image2.png" /><ns0:Relationship Id="rId32" Type="http://schemas.openxmlformats.org/officeDocument/2006/relationships/hyperlink" Target="../../../../../../../../common_reference_data/geography/boundaries/EEZs.geojson" TargetMode="External" /><ns0:Relationship Id="rId33" Type="http://schemas.openxmlformats.org/officeDocument/2006/relationships/hyperlink" Target="evidence/source_review/region_boundary.png" TargetMode="External" /><ns0:Relationship Id="rId34" Type="http://schemas.openxmlformats.org/officeDocument/2006/relationships/hyperlink" Target="../../../sources/download-0adcf55e.pdf#page=7" TargetMode="External" /><ns0:Relationship Id="rId35" Type="http://schemas.openxmlformats.org/officeDocument/2006/relationships/hyperlink" Target="evidence/source_review/article_figure1_crop.png" TargetMode="External" /><ns0:Relationship Id="rId36" Type="http://schemas.openxmlformats.org/officeDocument/2006/relationships/hyperlink" Target="evidence/source_review/study_domain.png" TargetMode="External" /><ns0:Relationship Id="rId37" Type="http://schemas.openxmlformats.org/officeDocument/2006/relationships/image" Target="media/image3.png" /><ns0:Relationship Id="rId38" Type="http://schemas.openxmlformats.org/officeDocument/2006/relationships/hyperlink" Target="evidence/source_review/residual_fish_scope_followup.json" TargetMode="External" /><ns0:Relationship Id="rIdModelNotes" Type="http://schemas.openxmlformats.org/officeDocument/2006/relationships/hyperlink" Target="../model_notes.md" TargetMode="Externa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Regional model validation template</dc:title>
  <dc:subject>Reusable evidence summary and LLM completion instructions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