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Regional model validation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Pacific, Western Central high seas, HS_071.</w:t>
            </w:r>
            <w:r>
              <w:t xml:space="preserve"> </w:t>
            </w:r>
            <w:hyperlink r:id="rId9">
              <w:r>
                <w:rPr>
                  <w:color w:val="0563C1"/>
                  <w:u w:val="single"/>
                </w:rPr>
                <w:t>Regional workbook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Sea Around Us regional catch, 1950–2019; 2019 landings reference. Western Central Pacific high-seas reporting unit, including unidentified categories; historical download retained.</w:t>
            </w:r>
            <w:r>
              <w:t xml:space="preserve"> </w:t>
            </w:r>
            <w:hyperlink r:id="rId10">
              <w:r>
                <w:rPr>
                  <w:color w:val="0563C1"/>
                  <w:u w:val="single"/>
                </w:rPr>
                <w:t>Catch inputs</w:t>
              </w:r>
            </w:hyperlink>
            <w:r>
              <w:t xml:space="preserve"> | </w:t>
            </w:r>
            <w:hyperlink r:id="rId9">
              <w:r>
                <w:rPr>
                  <w:color w:val="0563C1"/>
                  <w:u w:val="single"/>
                </w:rPr>
                <w:t>Workbook catch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Allain, V.; Nicol, S.; Essington, T.; Okey, T.; Olson, B.; Kirby, D. (2007). An Ecopath with Ecosim model of the Western and Central Pacific Ocean warm pool pelagic ecosystem. WCPFC-SC3-EB SWG/IP-8. DOI: not recorded.</w:t>
            </w:r>
            <w:r>
              <w:t xml:space="preserve"> </w:t>
            </w:r>
            <w:hyperlink r:id="rId11">
              <w:r>
                <w:rPr>
                  <w:color w:val="0563C1"/>
                  <w:u w:val="single"/>
                </w:rPr>
                <w:t>Source PDF</w:t>
              </w:r>
            </w:hyperlink>
            <w:r>
              <w:t xml:space="preserve"> | </w:t>
            </w:r>
            <w:hyperlink r:id="rId12">
              <w:r>
                <w:rPr>
                  <w:color w:val="0563C1"/>
                  <w:u w:val="single"/>
                </w:rPr>
                <w:t>WCPFC article</w:t>
              </w:r>
            </w:hyperlink>
            <w:r>
              <w:t xml:space="preserve"> | </w:t>
            </w:r>
            <w:hyperlink r:id="rId13">
              <w:r>
                <w:rPr>
                  <w:color w:val="0563C1"/>
                  <w:u w:val="single"/>
                </w:rPr>
                <w:t>Paper folder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Griffiths, S.P.; Allain, V.; Hoyle, S.D.; Lawson, T.A.; Nicol, S.J. (2019). Just a FAD? Ecosystem impacts of tuna purse-seine fishing associated with fish aggregating devices in the western Pacific Warm Pool Province. 2005 source and pooled experiment retained for investigation; not selected.</w:t>
            </w:r>
            <w:r>
              <w:t xml:space="preserve"> </w:t>
            </w:r>
            <w:hyperlink r:id="rId14">
              <w:r>
                <w:rPr>
                  <w:color w:val="0563C1"/>
                  <w:u w:val="single"/>
                </w:rPr>
                <w:t>DOI 10.1111/fog.12389</w:t>
              </w:r>
            </w:hyperlink>
            <w:r>
              <w:t xml:space="preserve"> | </w:t>
            </w:r>
            <w:hyperlink r:id="rId15">
              <w:r>
                <w:rPr>
                  <w:color w:val="0563C1"/>
                  <w:u w:val="single"/>
                </w:rPr>
                <w:t>Retained article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941_20070101_WCPO_Warm_Pool_Option1_(mixed_periods); mixed source periods. Final 31 ecological groups plus one computational import. Pelagic study domain 110–180°E, 15°S–15°N.</w:t>
            </w:r>
            <w:r>
              <w:t xml:space="preserve"> </w:t>
            </w:r>
            <w:hyperlink r:id="rId16">
              <w:r>
                <w:rPr>
                  <w:color w:val="0563C1"/>
                  <w:u w:val="single"/>
                </w:rPr>
                <w:t>Selected JSON</w:t>
              </w:r>
            </w:hyperlink>
            <w:r>
              <w:t xml:space="preserve"> | </w:t>
            </w:r>
            <w:hyperlink r:id="rId17">
              <w:r>
                <w:rPr>
                  <w:color w:val="0563C1"/>
                  <w:u w:val="single"/>
                </w:rPr>
                <w:t>Model folder</w:t>
              </w:r>
            </w:hyperlink>
            <w:r>
              <w:t xml:space="preserve"> | </w:t>
            </w:r>
            <w:hyperlink r:id="rId18">
              <w:r>
                <w:rPr>
                  <w:color w:val="0563C1"/>
                  <w:u w:val="single"/>
                </w:rPr>
                <w:t>Loaded state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Other models from the same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Initial 24-group WCPO warm-pool model and final 31-group source model, both mixed periods and the same broad domain; final adds stages and forage detail. The adopted D_fixed_M0 option1 is an extraction/parameter variant of the final model. Three Ecosim perturbations are scenarios, not distinct Ecopath inputs.</w:t>
            </w:r>
            <w:r>
              <w:t xml:space="preserve"> </w:t>
            </w:r>
            <w:hyperlink r:id="rId19">
              <w:r>
                <w:rPr>
                  <w:color w:val="0563C1"/>
                  <w:u w:val="single"/>
                </w:rPr>
                <w:t>Initial model</w:t>
              </w:r>
            </w:hyperlink>
            <w:r>
              <w:t xml:space="preserve"> | </w:t>
            </w:r>
            <w:hyperlink r:id="rId20">
              <w:r>
                <w:rPr>
                  <w:color w:val="0563C1"/>
                  <w:u w:val="single"/>
                </w:rPr>
                <w:t>Final source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Article: ? — comparative article-selection reason is unrecorded. Model: the recorded selection adopts D_fixed_M0 to preserve juvenile other-mortality flows and improve juvenile production consistency. It remains a surrogate; Griffiths 2019 is deferred for investigation.</w:t>
            </w:r>
            <w:r>
              <w:t xml:space="preserve"> </w:t>
            </w:r>
            <w:hyperlink r:id="rId21">
              <w:r>
                <w:rPr>
                  <w:color w:val="0563C1"/>
                  <w:u w:val="single"/>
                </w:rPr>
                <w:t>Recorded rationale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Model extraction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Initial/final table scope is distinguished. Accepted Small BET/YFT P/B and EE differ from the paper. Source YFT/piscivorous diet sums 0.998/1.002 are normalized by the retained loader. GS exceptions are retained; missing BA is derived for 24 groups. Unknown baby/forage catch becomes runtime zero; detritus EE is forced to 1 and synthetic import is added. Native stanza dynamics are not reproduced.</w:t>
            </w:r>
            <w:r>
              <w:t xml:space="preserve"> </w:t>
            </w:r>
            <w:hyperlink r:id="rId22">
              <w:r>
                <w:rPr>
                  <w:color w:val="0563C1"/>
                  <w:u w:val="single"/>
                </w:rPr>
                <w:t>Source and runtime review</w:t>
              </w:r>
            </w:hyperlink>
            <w:r>
              <w:t xml:space="preserve"> | </w:t>
            </w:r>
            <w:hyperlink r:id="rId23">
              <w:r>
                <w:rPr>
                  <w:color w:val="0563C1"/>
                  <w:u w:val="single"/>
                </w:rPr>
                <w:t>Transformation ledger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SPPR calculation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[MANUAL — Researcher: calculation choices and reasons]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[Excluded groups, scope and relevant values; other adjustments]</w:t>
            </w:r>
          </w:p>
        </w:tc>
      </w:tr>
    </w:tbl>
    <w:p>
      <w:pPr>
        <w:spacing w:after="40" w:before="0" w:line="240" w:lineRule="auto"/>
        <w:pageBreakBefore/>
      </w:pPr>
      <w:r>
        <w:rPr>
          <w:rFonts w:ascii="Calibri" w:hAnsi="Calibri"/>
          <w:sz w:val="2"/>
          <w:color w:val="000000"/>
        </w:rPr>
        <w:t xml:space="preserv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negative SPPR entries across the basal-source columns. rho_living = 0.54676655; b = 0.63691435; Detritus (31) SPPR = 2.58026100.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negative SPPR entries across the basal-source columns. rho_living = 0.82430628; Detritus (31) SPPR = 0.25250886.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Approximate A: 57.6% of HS_071 is covered by the study area. B: about 11.1–13.0% of the study area is covered by HS_071.</w:t>
            </w:r>
            <w:r>
              <w:t xml:space="preserve"> </w:t>
            </w:r>
            <w:hyperlink r:id="rId24">
              <w:r>
                <w:rPr>
                  <w:color w:val="0563C1"/>
                  <w:u w:val="single"/>
                </w:rPr>
                <w:t>Boundary estimate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Mixed source inputs: skipjack/forage 1993–2002, yellowfin/bigeye/bycatch 1995–2004 and diet 2001–2007; 2005–2006 assessment editions are not model years. Fixed ecosystem coefficients and composition proxies are transferred across 1950–2019; the 2019 estimate is not an annual ecosystem reconstruction.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The accepted variant retains overall WARN and strict mass balance false (adult BET production residual ≈0.728%); PP-budget status is OK. Original source/native-model validity and author confirmation remain unestablished. Geographic coverage and nonnegative coefficients do not resolve these limitations.</w:t>
            </w:r>
            <w:r>
              <w:t xml:space="preserve"> </w:t>
            </w:r>
            <w:hyperlink r:id="rId25">
              <w:r>
                <w:rPr>
                  <w:color w:val="0563C1"/>
                  <w:u w:val="single"/>
                </w:rPr>
                <w:t>Exact diagnostic evidence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[Researcher: open issues and next actions]</w:t>
              <w:br/>
              <w:t/>
              <w:br/>
              <w:t/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Review and reproducibility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Researcher name: [name] | review date: [date]</w:t>
              <w:br/>
              <w:t/>
              <w:br/>
              <w:t/>
              <w:br/>
              <w:t/>
            </w:r>
          </w:p>
        </w:tc>
      </w:tr>
    </w:tbl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30"/>
        </w:rPr>
        <w:t>Taxon mapping and coverage</w:t>
      </w:r>
    </w:p>
    <w:p>
      <w:pPr>
        <w:keepNext w:val="0"/>
        <w:pageBreakBefore w:val="0"/>
        <w:spacing w:after="120"/>
      </w:pPr>
      <w:r>
        <w:t>Reference: 2019 landings; all catch labels and source-group scope, including zero catch and unidentified categories.</w:t>
      </w:r>
    </w:p>
    <w:p>
      <w:pPr>
        <w:keepNext w:val="0"/>
        <w:pageBreakBefore w:val="0"/>
        <w:spacing w:after="120"/>
      </w:pPr>
      <w:r>
        <w:t>31 source ecological groups (+1 computational import); 23 catch labels.</w:t>
      </w:r>
    </w:p>
    <w:p>
      <w:pPr>
        <w:keepNext w:val="0"/>
        <w:pageBreakBefore w:val="0"/>
        <w:spacing w:after="120"/>
      </w:pPr>
      <w:r>
        <w:t>Simple-chain PPR totals 157,858,508.52 t C in 2019.</w:t>
      </w:r>
    </w:p>
    <w:p>
      <w:pPr>
        <w:keepNext w:val="0"/>
        <w:pageBreakBefore w:val="0"/>
        <w:spacing w:after="120"/>
      </w:pPr>
      <w:r>
        <w:t>Method: independent simple trophic chain using saved classic taxon coefficients.</w:t>
      </w:r>
    </w:p>
    <w:p>
      <w:pPr>
        <w:keepNext w:val="0"/>
        <w:pageBreakBefore w:val="0"/>
        <w:spacing w:after="120"/>
      </w:pPr>
      <w:hyperlink r:id="rId26">
        <w:r>
          <w:rPr>
            <w:color w:val="0563C1"/>
            <w:u w:val="single"/>
          </w:rPr>
          <w:t>Taxon mapping appendix</w:t>
        </w:r>
      </w:hyperlink>
      <w:r>
        <w:t xml:space="preserve"> and </w:t>
      </w:r>
      <w:hyperlink r:id="rId27">
        <w:r>
          <w:rPr>
            <w:color w:val="0563C1"/>
            <w:u w:val="single"/>
          </w:rPr>
          <w:t>descriptive Sources sheet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2304"/>
        <w:gridCol w:w="2376"/>
      </w:tblGrid>
      <w:tr>
        <w:trPr>
          <w:tblHeader/>
          <w:cantSplit/>
          <w:tblHeader/>
          <w:cantSplit/>
        </w:trPr>
        <w:tc>
          <w:tcPr>
            <w:tcW w:type="dxa" w:w="3888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Overall confidence</w:t>
            </w:r>
          </w:p>
        </w:tc>
        <w:tc>
          <w:tcPr>
            <w:tcW w:type="dxa" w:w="1440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Taxa</w:t>
            </w:r>
          </w:p>
        </w:tc>
        <w:tc>
          <w:tcPr>
            <w:tcW w:type="dxa" w:w="230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Catch percentage</w:t>
            </w:r>
          </w:p>
        </w:tc>
        <w:tc>
          <w:tcPr>
            <w:tcW w:type="dxa" w:w="2376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High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Medium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14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97.6315%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98.7320%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Low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Very low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7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2.3685%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1.2680%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Unresolved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</w:tbl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The summary uses the weaker required membership or allocation confidence. The following tables show each component separately.</w:t>
      </w:r>
    </w:p>
    <w:p>
      <w:pPr>
        <w:keepNext/>
        <w:pageBreakBefore w:val="0"/>
        <w:spacing w:after="120"/>
      </w:pPr>
      <w:r>
        <w:rPr>
          <w:rFonts w:ascii="Calibri" w:hAnsi="Calibri"/>
          <w:b/>
          <w:color w:val="000000"/>
          <w:sz w:val="23"/>
        </w:rPr>
        <w:t>Group assignment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Explicit final source membership in the group or stage union.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98.4876%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Weak usable taxonomic/functional analogue; habitat/stage mismatch.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1.2138%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Verified historical/current synonym fits the named source stages.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0.1283%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Documented family identity fits the complete source group set.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0.1161%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Broad catch label uses an assumed represented-pool composition.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0.0542%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Supported candidate set requires an explicit membership inference.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</w:tbl>
    <w:p>
      <w:pPr>
        <w:keepNext w:val="0"/>
        <w:pageBreakBefore w:val="0"/>
        <w:spacing w:after="120"/>
      </w:pPr>
      <w:r>
        <w:t xml:space="preserve">Membership evidence: </w:t>
      </w:r>
      <w:hyperlink r:id="rId28">
        <w:r>
          <w:rPr>
            <w:color w:val="0563C1"/>
            <w:u w:val="single"/>
          </w:rPr>
          <w:t>final source definitions and taxonomic/ecological review</w:t>
        </w:r>
      </w:hyperlink>
    </w:p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23"/>
        </w:rPr>
        <w:t>Allocation weight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Historical source landings proportions supply an assumed regional composition; genuine zeros and the accepted infant exception are explicit.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99.9458%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Incomplete raw source catch rejects the catch proxy; complete biomass proportions assume regional composition/catchability.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0.0542%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One eligible group receives the entire taxon; this adds no allocation uncertainty.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</w:tbl>
    <w:p>
      <w:pPr>
        <w:keepNext w:val="0"/>
        <w:pageBreakBefore w:val="0"/>
        <w:spacing w:after="120"/>
      </w:pPr>
      <w:r>
        <w:t xml:space="preserve">Each percentage is the simple-chain PPR associated with taxa using that rule. Weights and assumptions: </w:t>
      </w:r>
      <w:hyperlink r:id="rId29">
        <w:r>
          <w:rPr>
            <w:color w:val="0563C1"/>
            <w:u w:val="single"/>
          </w:rPr>
          <w:t>candidate/catch/biomass evidence</w:t>
        </w:r>
      </w:hyperlink>
    </w:p>
    <w:p>
      <w:pPr>
        <w:keepNext w:val="0"/>
        <w:pageBreakBefore w:val="0"/>
        <w:spacing w:after="120"/>
      </w:pPr>
      <w:r>
        <w:t>Unresolved: none. Very low: Thunnus alalunga, Thunnus orientalis and Thunnus maccoyii use a weak bigeye-stage analogue; Scombridae, Elasmobranchii, Marine fishes not identified and Marine pelagic fishes not identified use assumed broad-pool composition. These seven labels represent 2.3685% of landings and 1.2680% of simple-chain PPR. Exact candidates and limitations are in the appendix.</w:t>
      </w:r>
    </w:p>
    <w:p>
      <w:pPr>
        <w:pStyle w:val="Title"/>
        <w:pageBreakBefore/>
        <w:keepNext/>
        <w:pageBreakBefore/>
      </w:pPr>
      <w:r>
        <w:t>Geographic evidence screenshots</w:t>
      </w:r>
    </w:p>
    <w:p>
      <w:pPr>
        <w:spacing w:after="40" w:before="0" w:line="240" w:lineRule="auto"/>
      </w:pPr>
      <w:r>
        <w:t>Target region R and selected model study area S. Approximate WGS84 boundary comparison with consistent land exclusion; the reported model area gives an alternate B denominator.</w:t>
      </w:r>
    </w:p>
    <w:p>
      <w:pPr>
        <w:pStyle w:val="Heading2"/>
        <w:keepNext/>
      </w:pPr>
      <w:r>
        <w:t>Region 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Pacific, Western Central high seas HS_071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3235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ion_boundary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3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HS_071 boundary: repaired repository Sea Around Us high-seas region 71 polygon; Natural Earth 1:50m land. </w:t>
      </w:r>
      <w:r>
        <w:t xml:space="preserve"> </w:t>
      </w:r>
      <w:hyperlink r:id="rId31">
        <w:r>
          <w:rPr>
            <w:color w:val="0563C1"/>
            <w:u w:val="single"/>
          </w:rPr>
          <w:t>Boundary source</w:t>
        </w:r>
      </w:hyperlink>
      <w:r>
        <w:t xml:space="preserve"> | </w:t>
      </w:r>
      <w:hyperlink r:id="rId32">
        <w:r>
          <w:rPr>
            <w:color w:val="0563C1"/>
            <w:u w:val="single"/>
          </w:rPr>
          <w:t>Image</w:t>
        </w:r>
      </w:hyperlink>
    </w:p>
    <w:p>
      <w:pPr>
        <w:pStyle w:val="Heading2"/>
        <w:keepNext/>
        <w:pageBreakBefore/>
      </w:pPr>
      <w:r>
        <w:t>Study area in the article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Study rectangle from Allain et al. (2007), Section 2.2 PDF7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keepNext/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32359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ion_boundary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3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Reported bounds: 110–180°E, 15°S–15°N; reconstructed study boundary. Figure 1 PDF3 shows the broader warm-pool/cold-tongue context. </w:t>
      </w:r>
      <w:r>
        <w:t xml:space="preserve"> </w:t>
      </w:r>
      <w:hyperlink r:id="rId33">
        <w:r>
          <w:rPr>
            <w:color w:val="0563C1"/>
            <w:u w:val="single"/>
          </w:rPr>
          <w:t>Source PDF7</w:t>
        </w:r>
      </w:hyperlink>
      <w:r>
        <w:t xml:space="preserve"> | </w:t>
      </w:r>
      <w:hyperlink r:id="rId34">
        <w:r>
          <w:rPr>
            <w:color w:val="0563C1"/>
            <w:u w:val="single"/>
          </w:rPr>
          <w:t>Source Figure 1</w:t>
        </w:r>
      </w:hyperlink>
      <w:r>
        <w:t xml:space="preserve"> | </w:t>
      </w:r>
      <w:hyperlink r:id="rId35">
        <w:r>
          <w:rPr>
            <w:color w:val="0563C1"/>
            <w:u w:val="single"/>
          </w:rPr>
          <w:t>Image</w:t>
        </w:r>
      </w:hyperlink>
    </w:p>
    <w:p>
      <w:pPr>
        <w:spacing w:after="40" w:before="0" w:line="240" w:lineRule="auto"/>
      </w:pPr>
      <w:r>
        <w:drawing>
          <wp:inline xmlns:a="http://schemas.openxmlformats.org/drawingml/2006/main" xmlns:pic="http://schemas.openxmlformats.org/drawingml/2006/picture">
            <wp:extent cx="5943600" cy="2701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_figure1_crop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6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nextPage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Validation1" Type="http://schemas.openxmlformats.org/officeDocument/2006/relationships/hyperlink" Target="[Excel_appendix.xlsx]" TargetMode="External"/><Relationship Id="rId9" Type="http://schemas.openxmlformats.org/officeDocument/2006/relationships/hyperlink" Target="HS_071.xlsx" TargetMode="External"/><Relationship Id="rId10" Type="http://schemas.openxmlformats.org/officeDocument/2006/relationships/hyperlink" Target="raw" TargetMode="External"/><Relationship Id="rId11" Type="http://schemas.openxmlformats.org/officeDocument/2006/relationships/hyperlink" Target="papers/WCP-2007/download-0adcf55e.pdf" TargetMode="External"/><Relationship Id="rId12" Type="http://schemas.openxmlformats.org/officeDocument/2006/relationships/hyperlink" Target="https://meetings.wcpfc.int/node/6157" TargetMode="External"/><Relationship Id="rId13" Type="http://schemas.openxmlformats.org/officeDocument/2006/relationships/hyperlink" Target="papers/WCP-2007" TargetMode="External"/><Relationship Id="rId14" Type="http://schemas.openxmlformats.org/officeDocument/2006/relationships/hyperlink" Target="https://doi.org/10.1111/fog.12389" TargetMode="External"/><Relationship Id="rId15" Type="http://schemas.openxmlformats.org/officeDocument/2006/relationships/hyperlink" Target="papers/Griffiths-2019" TargetMode="External"/><Relationship Id="rId16" Type="http://schemas.openxmlformats.org/officeDocument/2006/relationships/hyperlink" Target="models/941_20070101_WCPO_Warm_Pool_Option1_%28mixed_periods%29/941_20070101_WCPO_Warm_Pool_Option1_%28mixed_periods%29.json" TargetMode="External"/><Relationship Id="rId17" Type="http://schemas.openxmlformats.org/officeDocument/2006/relationships/hyperlink" Target="models/941_20070101_WCPO_Warm_Pool_Option1_%28mixed_periods%29" TargetMode="External"/><Relationship Id="rId18" Type="http://schemas.openxmlformats.org/officeDocument/2006/relationships/hyperlink" Target="validation_reports/941_20070101_WCPO_Warm_Pool_Option1_%28mixed_periods%29/reused_diagnostics/loaded_state.json" TargetMode="External"/><Relationship Id="rId19" Type="http://schemas.openxmlformats.org/officeDocument/2006/relationships/hyperlink" Target="../EEZ_941/models/941_200702_WCPO_Warm_Pool_Initial_%28mixed_periods%29" TargetMode="External"/><Relationship Id="rId20" Type="http://schemas.openxmlformats.org/officeDocument/2006/relationships/hyperlink" Target="../EEZ_941/models/941_200701_WCPO_Warm_Pool_Final_%28mixed_periods%29" TargetMode="External"/><Relationship Id="rId21" Type="http://schemas.openxmlformats.org/officeDocument/2006/relationships/hyperlink" Target="models/941_20070101_WCPO_Warm_Pool_Option1_%28mixed_periods%29/SELECTION_REPORT.md" TargetMode="External"/><Relationship Id="rId22" Type="http://schemas.openxmlformats.org/officeDocument/2006/relationships/hyperlink" Target="validation_reports/941_20070101_WCPO_Warm_Pool_Option1_%28mixed_periods%29/source_review.md#source-layers-and-scientific-limitations" TargetMode="External"/><Relationship Id="rId23" Type="http://schemas.openxmlformats.org/officeDocument/2006/relationships/hyperlink" Target="validation_reports/941_20070101_WCPO_Warm_Pool_Option1_%28mixed_periods%29/reused_diagnostics/transformation_ledger.json" TargetMode="External"/><Relationship Id="rId24" Type="http://schemas.openxmlformats.org/officeDocument/2006/relationships/hyperlink" Target="validation_reports/941_20070101_WCPO_Warm_Pool_Option1_%28mixed_periods%29/geographic_estimate.json" TargetMode="External"/><Relationship Id="rId25" Type="http://schemas.openxmlformats.org/officeDocument/2006/relationships/hyperlink" Target="validation_reports/941_20070101_WCPO_Warm_Pool_Option1_%28mixed_periods%29/diagnostics_verification.json" TargetMode="External"/><Relationship Id="rId26" Type="http://schemas.openxmlformats.org/officeDocument/2006/relationships/hyperlink" Target="HS071_taxon_mapping_appendix.xlsx" TargetMode="External"/><Relationship Id="rId27" Type="http://schemas.openxmlformats.org/officeDocument/2006/relationships/hyperlink" Target="HS071_taxon_mapping_appendix.xlsx#Sources%21A1" TargetMode="External"/><Relationship Id="rId28" Type="http://schemas.openxmlformats.org/officeDocument/2006/relationships/hyperlink" Target="validation_reports/941_20070101_WCPO_Warm_Pool_Option1_%28mixed_periods%29/source_review.md#membership-and-reporting-scope" TargetMode="External"/><Relationship Id="rId29" Type="http://schemas.openxmlformats.org/officeDocument/2006/relationships/hyperlink" Target="validation_reports/941_20070101_WCPO_Warm_Pool_Option1_%28mixed_periods%29/source_review.md#stage-allocation" TargetMode="External"/><Relationship Id="rId30" Type="http://schemas.openxmlformats.org/officeDocument/2006/relationships/image" Target="media/image1.png"/><Relationship Id="rId31" Type="http://schemas.openxmlformats.org/officeDocument/2006/relationships/hyperlink" Target="../../common_reference_data/geography/HighSeas.geojson" TargetMode="External"/><Relationship Id="rId32" Type="http://schemas.openxmlformats.org/officeDocument/2006/relationships/hyperlink" Target="validation_reports/941_20070101_WCPO_Warm_Pool_Option1_%28mixed_periods%29/region_boundary.png" TargetMode="External"/><Relationship Id="rId33" Type="http://schemas.openxmlformats.org/officeDocument/2006/relationships/hyperlink" Target="papers/WCP-2007/download-0adcf55e.pdf#page=7" TargetMode="External"/><Relationship Id="rId34" Type="http://schemas.openxmlformats.org/officeDocument/2006/relationships/hyperlink" Target="validation_reports/941_20070101_WCPO_Warm_Pool_Option1_%28mixed_periods%29/article_figure1_crop.png" TargetMode="External"/><Relationship Id="rId35" Type="http://schemas.openxmlformats.org/officeDocument/2006/relationships/hyperlink" Target="validation_reports/941_20070101_WCPO_Warm_Pool_Option1_%28mixed_periods%29/study_domain.png" TargetMode="External"/><Relationship Id="rId3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