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xmlns:ns3="http://schemas.openxmlformats.org/drawingml/2006/wordprocessingDrawing" xmlns:ns4="http://schemas.openxmlformats.org/drawingml/2006/main" xmlns:ns5="http://schemas.openxmlformats.org/drawingml/2006/picture" xmlns:w14="http://schemas.microsoft.com/office/word/2010/wordml" xmlns:wp14="http://schemas.microsoft.com/office/word/2010/wordprocessingDrawing" ns1:Ignorable="w14 wp14">
  <ns0:body>
    <ns0:p>
      <ns0:pPr>
        <ns0:pStyle ns0:val="Title"/>
      </ns0:pPr>
      <ns0:r>
        <ns0:t>HS 077 model validation</ns0:t>
      </ns0:r>
    </ns0:p>
    <ns0:tbl>
      <ns0:tblPr>
        <ns0:tblW ns0:type="auto" ns0:w="0"/>
        <ns0:jc ns0:val="center"/>
        <ns0:tblLayout ns0:type="fixed"/>
        <ns0:tblLook ns0:firstColumn="1" ns0:firstRow="1" ns0:lastColumn="0" ns0:lastRow="0" ns0:noHBand="0" ns0:noVBand="1" ns0:val="04A0"/>
      </ns0:tblPr>
      <ns0:tblGrid>
        <ns0:gridCol ns0:w="2203"/>
        <ns0:gridCol ns0:w="7834"/>
      </ns0:tblGrid>
      <ns0:tr>
        <ns0:trPr>
          <ns0:cantSplit/>
          <ns0:tblHeader/>
          <ns0:tblHeader/>
          <ns0:cantSplit/>
        </ns0:trPr>
        <ns0:tc>
          <ns0:tcPr>
            <ns0:tcW ns0:type="dxa" ns0:w="2203"/>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Field</ns0:t>
            </ns0:r>
          </ns0:p>
        </ns0:tc>
        <ns0:tc>
          <ns0:tcPr>
            <ns0:tcW ns0:type="dxa" ns0:w="7834"/>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rPr>
                <ns0:rFonts ns0:ascii="Calibri" ns0:hAnsi="Calibri"/>
                <ns0:sz ns0:val="21"/>
                <ns0:color ns0:val="000000"/>
                <ns0:b/>
              </ns0:rPr>
              <ns0:t xml:space="preserve">Entry</ns0:t>
            </ns0:r>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Region</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Pacific, Eastern Central high seas, HS_077.</ns0:t>
            </ns0:r>
            <ns0:r>
              <ns0:t xml:space="preserve"> </ns0:t>
            </ns0:r>
            <ns0:hyperlink ns2:id="rId9">
              <ns0:r>
                <ns0:rPr>
                  <ns0:color ns0:val="0563C1"/>
                  <ns0:u ns0:val="single"/>
                </ns0:rPr>
                <ns0:t>Regional workbook</ns0:t>
              </ns0:r>
            </ns0:hyperlink>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Catch source</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Sea Around Us regional catch, 1950–2019; reference: 2019 landings. Eastern Central Pacific high-seas reporting unit; historical local download retained.</ns0:t>
            </ns0:r>
            <ns0:r>
              <ns0:t xml:space="preserve"> </ns0:t>
            </ns0:r>
            <ns0:hyperlink ns2:id="rId10">
              <ns0:r>
                <ns0:rPr>
                  <ns0:color ns0:val="0563C1"/>
                  <ns0:u ns0:val="single"/>
                </ns0:rPr>
                <ns0:t>Catch inputs</ns0:t>
              </ns0:r>
            </ns0:hyperlink>
            <ns0:r>
              <ns0:t xml:space="preserve"> | </ns0:t>
            </ns0:r>
            <ns0:hyperlink ns2:id="rId9">
              <ns0:r>
                <ns0:rPr>
                  <ns0:color ns0:val="0563C1"/>
                  <ns0:u ns0:val="single"/>
                </ns0:rPr>
                <ns0:t>Regional catch</ns0:t>
              </ns0:r>
            </ns0:hyperlink>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Selected article</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Olson, R.J.; Watters, G.M. (2003). A model of the pelagic ecosystem in the eastern tropical Pacific Ocean. IATTC Bulletin 22(3), pp. 135–218. DOI: not recorded.</ns0:t>
            </ns0:r>
            <ns0:r>
              <ns0:t xml:space="preserve"> </ns0:t>
            </ns0:r>
            <ns0:hyperlink ns2:id="rId11">
              <ns0:r>
                <ns0:rPr>
                  <ns0:color ns0:val="0563C1"/>
                  <ns0:u ns0:val="single"/>
                </ns0:rPr>
                <ns0:t>Source PDF</ns0:t>
              </ns0:r>
            </ns0:hyperlink>
            <ns0:r>
              <ns0:t xml:space="preserve"> | </ns0:t>
            </ns0:r>
            <ns0:hyperlink ns2:id="rId12">
              <ns0:r>
                <ns0:rPr>
                  <ns0:color ns0:val="0563C1"/>
                  <ns0:u ns0:val="single"/>
                </ns0:rPr>
                <ns0:t>Official IATTC bulletin</ns0:t>
              </ns0:r>
            </ns0:hyperlink>
            <ns0:r>
              <ns0:t xml:space="preserve"> | </ns0:t>
            </ns0:r>
            <ns0:hyperlink ns2:id="rId13">
              <ns0:r>
                <ns0:rPr>
                  <ns0:color ns0:val="0563C1"/>
                  <ns0:u ns0:val="single"/>
                </ns0:rPr>
                <ns0:t>Paper folder</ns0:t>
              </ns0:r>
            </ns0:hyperlink>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Other known articles</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No additional article is recorded for HS_077 in the reviewed local inventory; this is not an exhaustive literature search.</ns0:t>
            </ns0:r>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Selected model</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077HS_1_Eastern_tropical_Pacific_(1993-1997); final ETP7, 1993–1997. 39 source ecological groups plus one computational import. Pelagic domain: 20°N–20°S, 150°W to the approximate American shelf break.</ns0:t>
            </ns0:r>
            <ns0:r>
              <ns0:t xml:space="preserve"> </ns0:t>
            </ns0:r>
            <ns0:hyperlink ns2:id="rId14">
              <ns0:r>
                <ns0:rPr>
                  <ns0:color ns0:val="0563C1"/>
                  <ns0:u ns0:val="single"/>
                </ns0:rPr>
                <ns0:t>Selected JSON</ns0:t>
              </ns0:r>
            </ns0:hyperlink>
            <ns0:r>
              <ns0:t xml:space="preserve"> | </ns0:t>
            </ns0:r>
            <ns0:hyperlink ns2:id="rId15">
              <ns0:r>
                <ns0:rPr>
                  <ns0:color ns0:val="0563C1"/>
                  <ns0:u ns0:val="single"/>
                </ns0:rPr>
                <ns0:t>Model folder</ns0:t>
              </ns0:r>
            </ns0:hyperlink>
            <ns0:r>
              <ns0:t xml:space="preserve"> | </ns0:t>
            </ns0:r>
            <ns0:hyperlink ns2:id="rId16">
              <ns0:r>
                <ns0:rPr>
                  <ns0:color ns0:val="0563C1"/>
                  <ns0:u ns0:val="single"/>
                </ns0:rPr>
                <ns0:t>Accepted loaded state</ns0:t>
              </ns0:r>
            </ns0:hyperlink>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rPr>
                <ns0:rFonts ns0:ascii="Calibri" ns0:hAnsi="Calibri"/>
                <ns0:sz ns0:val="21"/>
                <ns0:color ns0:val="000000"/>
                <ns0:b/>
              </ns0:rPr>
              <ns0:t xml:space="preserve">Other models from the same article</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ETP1: initial 34-group, explicitly unbalanced model for the same broad period/domain. ETP2–ETP6: intermediate revisions; separate complete static tables unavailable. ETP5 sensitivities and Ecosim runs are scenarios. ETP7 is the final published parameterization.</ns0:t>
            </ns0:r>
            <ns0:r>
              <ns0:t xml:space="preserve"> </ns0:t>
            </ns0:r>
            <ns0:hyperlink ns2:id="rId17">
              <ns0:r>
                <ns0:rPr>
                  <ns0:color ns0:val="0563C1"/>
                  <ns0:u ns0:val="single"/>
                </ns0:rPr>
                <ns0:t>Source model inventory</ns0:t>
              </ns0:r>
            </ns0:hyperlink>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Selection rationale</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Article: recorded as the selected pilot article; comparative criterion beyond that designation: ?. Model: ? — the recorded diet-consistency concern does not explain choosing among model versions.</ns0:t>
            </ns0:r>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Model extraction</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Nine material published diet-sum errors are retained in canonical inputs. The accepted historical runtime normalizes ten diets at 0.001 tolerance, including Albacore 1.001; infers missing BA; supplies missing-catch zeros and detritus/import defaults. Source BA and detritus routing remain undocumented. Censored whale EE and fleet catches are distinct from exact zero. No source values were restored or rebalanced.</ns0:t>
            </ns0:r>
            <ns0:r>
              <ns0:t xml:space="preserve"> </ns0:t>
            </ns0:r>
            <ns0:hyperlink ns2:id="rId18">
              <ns0:r>
                <ns0:rPr>
                  <ns0:color ns0:val="0563C1"/>
                  <ns0:u ns0:val="single"/>
                </ns0:rPr>
                <ns0:t>Reconstruction report</ns0:t>
              </ns0:r>
            </ns0:hyperlink>
            <ns0:r>
              <ns0:t xml:space="preserve"> | </ns0:t>
            </ns0:r>
            <ns0:hyperlink ns2:id="rId19">
              <ns0:r>
                <ns0:rPr>
                  <ns0:color ns0:val="0563C1"/>
                  <ns0:u ns0:val="single"/>
                </ns0:rPr>
                <ns0:t>Source and runtime review</ns0:t>
              </ns0:r>
            </ns0:hyperlink>
          </ns0:p>
          <ns0:p>
            <ns0:r>
              <ns0:t>Retained departures and evidence limits: </ns0:t>
            </ns0:r>
            <ns0:hyperlink ns2:id="rIdModelNotes">
              <ns0:r>
                <ns0:rPr>
                  <ns0:color ns0:val="0563C1"/>
                  <ns0:u ns0:val="single"/>
                </ns0:rPr>
                <ns0:t>model notes</ns0:t>
              </ns0:r>
            </ns0:hyperlink>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GE diagnostics</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OK</ns0:t>
            </ns0:r>
          </ns0:p>
          <ns0:p>
            <ns0:pPr>
              <ns0:spacing ns0:after="40" ns0:before="0" ns0:line="240" ns0:lineRule="auto"/>
            </ns0:pPr>
            <ns0:r>
              <ns0:t>No negative SPPR entries across the basal-source columns.</ns0:t>
            </ns0:r>
          </ns0:p>
          <ns0:p>
            <ns0:pPr>
              <ns0:spacing ns0:after="40" ns0:before="0" ns0:line="240" ns0:lineRule="auto"/>
            </ns0:pPr>
            <ns0:r>
              <ns0:t>rho_living = 0.538806</ns0:t>
            </ns0:r>
          </ns0:p>
          <ns0:p>
            <ns0:pPr>
              <ns0:spacing ns0:after="40" ns0:before="0" ns0:line="240" ns0:lineRule="auto"/>
            </ns0:pPr>
            <ns0:r>
              <ns0:t>b = 0</ns0:t>
            </ns0:r>
          </ns0:p>
          <ns0:p>
            <ns0:pPr>
              <ns0:spacing ns0:after="40" ns0:before="0" ns0:line="240" ns0:lineRule="auto"/>
            </ns0:pPr>
            <ns0:r>
              <ns0:t>Detritus (39): SPPR = 1.689166</ns0:t>
            </ns0:r>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TE diagnostics</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FAIL — negative SPPR and primary-production budget closure.</ns0:t>
            </ns0:r>
          </ns0:p>
          <ns0:p>
            <ns0:pPr>
              <ns0:spacing ns0:after="40" ns0:before="0" ns0:line="240" ns0:lineRule="auto"/>
            </ns0:pPr>
            <ns0:r>
              <ns0:t>Negative SPPR: diet_import (40): Toothed whales (4); Small producers (38): Toothed whales (4); Large phytoplankton (37): Toothed whales (4).</ns0:t>
            </ns0:r>
          </ns0:p>
          <ns0:p>
            <ns0:pPr>
              <ns0:spacing ns0:after="40" ns0:before="0" ns0:line="240" ns0:lineRule="auto"/>
            </ns0:pPr>
            <ns0:r>
              <ns0:t>rho_living = 0.627205</ns0:t>
            </ns0:r>
          </ns0:p>
          <ns0:p>
            <ns0:pPr>
              <ns0:spacing ns0:after="40" ns0:before="0" ns0:line="240" ns0:lineRule="auto"/>
            </ns0:pPr>
            <ns0:r>
              <ns0:t>Detritus (39): SPPR = 0.033546</ns0:t>
            </ns0:r>
          </ns0:p>
          <ns0:p>
            <ns0:pPr>
              <ns0:spacing ns0:after="40" ns0:before="0" ns0:line="240" ns0:lineRule="auto"/>
            </ns0:pPr>
            <ns0:r>
              <ns0:t>PP-budget relative gap = 1.752875; near-zero efficiencies in five mammal/bird groups.</ns0:t>
            </ns0:r>
          </ns0:p>
        </ns0:tc>
      </ns0:tr>
      <ns0:tr>
        <ns0:trPr>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SPPR calculation</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rPr>
                <ns0:rFonts ns0:ascii="Calibri" ns0:hAnsi="Calibri"/>
                <ns0:sz ns0:val="21"/>
                <ns0:color ns0:val="000000"/>
              </ns0:rPr>
              <ns0:t xml:space="preserve">[MANUAL — Researcher: calculation choices and reasons]</ns0:t>
            </ns0:r>
          </ns0:p>
          <ns0:p>
            <ns0:pPr>
              <ns0:spacing ns0:after="40" ns0:before="0" ns0:line="240" ns0:lineRule="auto"/>
            </ns0:pPr>
            <ns0:r>
              <ns0:rPr>
                <ns0:rFonts ns0:ascii="Calibri" ns0:hAnsi="Calibri"/>
                <ns0:sz ns0:val="21"/>
                <ns0:color ns0:val="000000"/>
              </ns0:rPr>
              <ns0:t xml:space="preserve">[Excluded groups, scope and relevant values; other adjustments]</ns0:t>
            </ns0:r>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Geographic fit</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Approximate A: 47% of HS_077 is covered by the study. B: 46–48% of the study is covered by HS_077.</ns0:t>
            </ns0:r>
            <ns0:r>
              <ns0:t xml:space="preserve"> </ns0:t>
            </ns0:r>
            <ns0:hyperlink ns2:id="rId20">
              <ns0:r>
                <ns0:rPr>
                  <ns0:color ns0:val="0563C1"/>
                  <ns0:u ns0:val="single"/>
                </ns0:rPr>
                <ns0:t>Boundary estimate</ns0:t>
              </ns0:r>
            </ns0:hyperlink>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Temporal fit</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1993–1997 model averages; catch series 1950–2019. The 2019 reference is 22–26 years later. Fixed ecosystem coefficients and assumed composition weights do not reconstruct annual ecosystem changes.</ns0:t>
            </ns0:r>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Other</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GE and With Egestion direct OK apply to the accepted transformed runtime; source/ecological admission remains unestablished.</ns0:t>
            </ns0:r>
            <ns0:r>
              <ns0:t xml:space="preserve"> </ns0:t>
            </ns0:r>
            <ns0:hyperlink ns2:id="rId21">
              <ns0:r>
                <ns0:rPr>
                  <ns0:color ns0:val="0563C1"/>
                  <ns0:u ns0:val="single"/>
                </ns0:rPr>
                <ns0:t>Exact matrix/diagnostic review</ns0:t>
              </ns0:r>
            </ns0:hyperlink>
          </ns0:p>
        </ns0:tc>
      </ns0:tr>
      <ns0:tr>
        <ns0:trPr>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Open issues and next action</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sz ns0:val="21"/>
              </ns0:rPr>
              <ns0:t>[Researcher: open issues and next actions]</ns0:t>
              <ns0:br/>
              <ns0:t/>
              <ns0:br/>
              <ns0:t/>
            </ns0:r>
          </ns0:p>
        </ns0:tc>
      </ns0:tr>
      <ns0:tr>
        <ns0:trPr>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Review and reproducibility</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sz ns0:val="21"/>
              </ns0:rPr>
              <ns0:t>Researcher name: [name] | review date: [date]</ns0:t>
              <ns0:br/>
              <ns0:t/>
              <ns0:br/>
              <ns0:t/>
              <ns0:br/>
              <ns0:t/>
            </ns0:r>
          </ns0:p>
        </ns0:tc>
      </ns0:tr>
    </ns0:tbl>
    <ns0:p>
      <ns0:pPr>
        <ns0:keepNext/>
        <ns0:pageBreakBefore/>
        <ns0:spacing ns0:after="120"/>
        <ns0:pStyle ns0:val="Heading1"/>
      </ns0:pPr>
      <ns0:r>
        <ns0:rPr>
          <ns0:rFonts ns0:ascii="Calibri" ns0:hAnsi="Calibri"/>
          <ns0:b/>
          <ns0:color ns0:val="000000"/>
          <ns0:sz ns0:val="30"/>
        </ns0:rPr>
        <ns0:t>Taxon mapping and coverage</ns0:t>
      </ns0:r>
    </ns0:p>
    <ns0:p>
      <ns0:pPr>
        <ns0:keepNext ns0:val="0"/>
        <ns0:pageBreakBefore ns0:val="0"/>
        <ns0:spacing ns0:after="120"/>
      </ns0:pPr>
      <ns0:r>
        <ns0:t>Reference: 2019 landings; all catch labels, including zero catch and unidentified categories; no group filter.</ns0:t>
      </ns0:r>
    </ns0:p>
    <ns0:p>
      <ns0:pPr>
        <ns0:keepNext ns0:val="0"/>
        <ns0:pageBreakBefore ns0:val="0"/>
        <ns0:spacing ns0:after="120"/>
      </ns0:pPr>
      <ns0:r>
        <ns0:t>39 source ecological groups (+1 computational import); 26 catch labels.</ns0:t>
      </ns0:r>
    </ns0:p>
    <ns0:p>
      <ns0:pPr>
        <ns0:keepNext ns0:val="0"/>
        <ns0:pageBreakBefore ns0:val="0"/>
        <ns0:spacing ns0:after="120"/>
      </ns0:pPr>
      <ns0:r>
        <ns0:t>Simple-chain PPR totals 226,007,970.44 t C in 2019.</ns0:t>
      </ns0:r>
    </ns0:p>
    <ns0:p>
      <ns0:pPr>
        <ns0:keepNext ns0:val="0"/>
        <ns0:pageBreakBefore ns0:val="0"/>
        <ns0:spacing ns0:after="120"/>
      </ns0:pPr>
      <ns0:r>
        <ns0:t>Method: independent simple trophic chain using saved classic taxon coefficients.</ns0:t>
      </ns0:r>
    </ns0:p>
    <ns0:p>
      <ns0:pPr>
        <ns0:keepNext ns0:val="0"/>
        <ns0:pageBreakBefore ns0:val="0"/>
        <ns0:spacing ns0:after="120"/>
      </ns0:pPr>
      <ns0:hyperlink ns2:id="rId22">
        <ns0:r>
          <ns0:rPr>
            <ns0:color ns0:val="0563C1"/>
            <ns0:u ns0:val="single"/>
          </ns0:rPr>
          <ns0:t>Taxon mapping appendix</ns0:t>
        </ns0:r>
      </ns0:hyperlink>
      <ns0:r>
        <ns0:t xml:space="preserve"> and </ns0:t>
      </ns0:r>
      <ns0:hyperlink ns2:id="rId23">
        <ns0:r>
          <ns0:rPr>
            <ns0:color ns0:val="0563C1"/>
            <ns0:u ns0:val="single"/>
          </ns0:rPr>
          <ns0:t>descriptive Sources sheet</ns0:t>
        </ns0:r>
      </ns0:hyperlink>
    </ns0:p>
    <ns0:tbl>
      <ns0:tblPr>
        <ns0:tblW ns0:type="auto" ns0:w="0"/>
        <ns0:tblLayout ns0:type="fixed"/>
        <ns0:tblLook ns0:firstColumn="1" ns0:firstRow="1" ns0:lastColumn="0" ns0:lastRow="0" ns0:noHBand="0" ns0:noVBand="1" ns0:val="04A0"/>
      </ns0:tblPr>
      <ns0:tblGrid>
        <ns0:gridCol ns0:w="3888"/>
        <ns0:gridCol ns0:w="1440"/>
        <ns0:gridCol ns0:w="2304"/>
        <ns0:gridCol ns0:w="2376"/>
      </ns0:tblGrid>
      <ns0:tr>
        <ns0:trPr>
          <ns0:tblHeader/>
          <ns0:cantSplit/>
          <ns0:tblHeader/>
          <ns0:cantSplit/>
        </ns0:trPr>
        <ns0:tc>
          <ns0:tcPr>
            <ns0:tcW ns0:type="dxa" ns0:w="3888"/>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rPr>
                <ns0:rFonts ns0:ascii="Calibri" ns0:hAnsi="Calibri"/>
                <ns0:b/>
                <ns0:color ns0:val="000000"/>
                <ns0:sz ns0:val="20"/>
              </ns0:rPr>
              <ns0:t>Overall confidence</ns0:t>
            </ns0:r>
          </ns0:p>
        </ns0:tc>
        <ns0:tc>
          <ns0:tcPr>
            <ns0:tcW ns0:type="dxa" ns0:w="1440"/>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rPr>
                <ns0:rFonts ns0:ascii="Calibri" ns0:hAnsi="Calibri"/>
                <ns0:b/>
                <ns0:color ns0:val="000000"/>
                <ns0:sz ns0:val="20"/>
              </ns0:rPr>
              <ns0:t>Taxa (n)</ns0:t>
            </ns0:r>
          </ns0:p>
        </ns0:tc>
        <ns0:tc>
          <ns0:tcPr>
            <ns0:tcW ns0:type="dxa" ns0:w="2304"/>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rPr>
                <ns0:rFonts ns0:ascii="Calibri" ns0:hAnsi="Calibri"/>
                <ns0:b/>
                <ns0:color ns0:val="000000"/>
                <ns0:sz ns0:val="20"/>
              </ns0:rPr>
              <ns0:t>Catch (%)</ns0:t>
            </ns0:r>
          </ns0:p>
        </ns0:tc>
        <ns0:tc>
          <ns0:tcPr>
            <ns0:tcW ns0:type="dxa" ns0:w="2376"/>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rPr>
                <ns0:rFonts ns0:ascii="Calibri" ns0:hAnsi="Calibri"/>
                <ns0:b/>
                <ns0:color ns0:val="000000"/>
                <ns0:sz ns0:val="20"/>
              </ns0:rPr>
              <ns0:t>Simple-chain PPR (%)</ns0:t>
            </ns0:r>
          </ns0:p>
        </ns0:tc>
      </ns0:tr>
      <ns0:tr>
        <ns0:trPr>
          <ns0:cantSplit/>
          <ns0:cantSplit/>
        </ns0:trPr>
        <ns0:tc>
          <ns0:tcPr>
            <ns0:tcW ns0:type="dxa" ns0:w="3888"/>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High</ns0:t>
            </ns0:r>
          </ns0:p>
        </ns0:tc>
        <ns0:tc>
          <ns0:tcPr>
            <ns0:tcW ns0:type="dxa" ns0:w="1440"/>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4</ns0:t>
            </ns0:r>
          </ns0:p>
        </ns0:tc>
        <ns0:tc>
          <ns0:tcPr>
            <ns0:tcW ns0:type="dxa" ns0:w="230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54%</ns0:t>
            </ns0:r>
          </ns0:p>
        </ns0:tc>
        <ns0:tc>
          <ns0:tcPr>
            <ns0:tcW ns0:type="dxa" ns0:w="2376"/>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53%</ns0:t>
            </ns0:r>
          </ns0:p>
        </ns0:tc>
      </ns0:tr>
      <ns0:tr>
        <ns0:trPr>
          <ns0:cantSplit/>
          <ns0:cantSplit/>
        </ns0:trPr>
        <ns0:tc>
          <ns0:tcPr>
            <ns0:tcW ns0:type="dxa" ns0:w="3888"/>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Medium</ns0:t>
            </ns0:r>
          </ns0:p>
        </ns0:tc>
        <ns0:tc>
          <ns0:tcPr>
            <ns0:tcW ns0:type="dxa" ns0:w="1440"/>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18</ns0:t>
            </ns0:r>
          </ns0:p>
        </ns0:tc>
        <ns0:tc>
          <ns0:tcPr>
            <ns0:tcW ns0:type="dxa" ns0:w="2304"/>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44%</ns0:t>
            </ns0:r>
          </ns0:p>
        </ns0:tc>
        <ns0:tc>
          <ns0:tcPr>
            <ns0:tcW ns0:type="dxa" ns0:w="2376"/>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46%</ns0:t>
            </ns0:r>
          </ns0:p>
        </ns0:tc>
      </ns0:tr>
      <ns0:tr>
        <ns0:trPr>
          <ns0:cantSplit/>
          <ns0:cantSplit/>
        </ns0:trPr>
        <ns0:tc>
          <ns0:tcPr>
            <ns0:tcW ns0:type="dxa" ns0:w="3888"/>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Low</ns0:t>
            </ns0:r>
          </ns0:p>
        </ns0:tc>
        <ns0:tc>
          <ns0:tcPr>
            <ns0:tcW ns0:type="dxa" ns0:w="1440"/>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ns0:t>
            </ns0:r>
          </ns0:p>
        </ns0:tc>
        <ns0:tc>
          <ns0:tcPr>
            <ns0:tcW ns0:type="dxa" ns0:w="230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ns0:t>
            </ns0:r>
          </ns0:p>
        </ns0:tc>
        <ns0:tc>
          <ns0:tcPr>
            <ns0:tcW ns0:type="dxa" ns0:w="2376"/>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ns0:t>
            </ns0:r>
          </ns0:p>
        </ns0:tc>
      </ns0:tr>
      <ns0:tr>
        <ns0:trPr>
          <ns0:cantSplit/>
          <ns0:cantSplit/>
        </ns0:trPr>
        <ns0:tc>
          <ns0:tcPr>
            <ns0:tcW ns0:type="dxa" ns0:w="3888"/>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Very low</ns0:t>
            </ns0:r>
          </ns0:p>
        </ns0:tc>
        <ns0:tc>
          <ns0:tcPr>
            <ns0:tcW ns0:type="dxa" ns0:w="1440"/>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4</ns0:t>
            </ns0:r>
          </ns0:p>
        </ns0:tc>
        <ns0:tc>
          <ns0:tcPr>
            <ns0:tcW ns0:type="dxa" ns0:w="2304"/>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2.1%</ns0:t>
            </ns0:r>
          </ns0:p>
        </ns0:tc>
        <ns0:tc>
          <ns0:tcPr>
            <ns0:tcW ns0:type="dxa" ns0:w="2376"/>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0.52%</ns0:t>
            </ns0:r>
          </ns0:p>
        </ns0:tc>
      </ns0:tr>
      <ns0:tr>
        <ns0:trPr>
          <ns0:cantSplit/>
          <ns0:cantSplit/>
        </ns0:trPr>
        <ns0:tc>
          <ns0:tcPr>
            <ns0:tcW ns0:type="dxa" ns0:w="3888"/>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Unresolved</ns0:t>
            </ns0:r>
          </ns0:p>
        </ns0:tc>
        <ns0:tc>
          <ns0:tcPr>
            <ns0:tcW ns0:type="dxa" ns0:w="1440"/>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ns0:t>
            </ns0:r>
          </ns0:p>
        </ns0:tc>
        <ns0:tc>
          <ns0:tcPr>
            <ns0:tcW ns0:type="dxa" ns0:w="230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ns0:t>
            </ns0:r>
          </ns0:p>
        </ns0:tc>
        <ns0:tc>
          <ns0:tcPr>
            <ns0:tcW ns0:type="dxa" ns0:w="2376"/>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ns0:t>
            </ns0:r>
          </ns0:p>
        </ns0:tc>
      </ns0:tr>
    </ns0:tbl>
    <ns0:p>
      <ns0:pPr>
        <ns0:keepNext ns0:val="0"/>
        <ns0:pageBreakBefore ns0:val="0"/>
        <ns0:spacing ns0:after="120"/>
      </ns0:pPr>
      <ns0:r>
        <ns0:rPr>
          <ns0:rFonts ns0:ascii="Calibri" ns0:hAnsi="Calibri"/>
          <ns0:b ns0:val="0"/>
          <ns0:color ns0:val="000000"/>
          <ns0:sz ns0:val="21"/>
        </ns0:rPr>
        <ns0:t>Overall confidence uses the weaker required membership or allocation component.</ns0:t>
      </ns0:r>
    </ns0:p>
    <ns0:p>
      <ns0:pPr>
        <ns0:keepNext/>
        <ns0:pageBreakBefore ns0:val="0"/>
        <ns0:spacing ns0:after="120"/>
      </ns0:pPr>
      <ns0:r>
        <ns0:rPr>
          <ns0:rFonts ns0:ascii="Calibri" ns0:hAnsi="Calibri"/>
          <ns0:b/>
          <ns0:color ns0:val="000000"/>
          <ns0:sz ns0:val="23"/>
        </ns0:rPr>
        <ns0:t>Group assignment rules</ns0:t>
      </ns0:r>
    </ns0:p>
    <ns0:tbl>
      <ns0:tblPr>
        <ns0:tblW ns0:type="auto" ns0:w="0"/>
        <ns0:tblLayout ns0:type="fixed"/>
        <ns0:tblLook ns0:firstColumn="1" ns0:firstRow="1" ns0:lastColumn="0" ns0:lastRow="0" ns0:noHBand="0" ns0:noVBand="1" ns0:val="04A0"/>
      </ns0:tblPr>
      <ns0:tblGrid>
        <ns0:gridCol ns0:w="6624"/>
        <ns0:gridCol ns0:w="1512"/>
        <ns0:gridCol ns0:w="1872"/>
      </ns0:tblGrid>
      <ns0:tr>
        <ns0:trPr>
          <ns0:tblHeader/>
          <ns0:cantSplit/>
          <ns0:tblHeader/>
          <ns0:cantSplit/>
        </ns0:trPr>
        <ns0:tc>
          <ns0:tcPr>
            <ns0:tcW ns0:type="dxa" ns0:w="6624"/>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rPr>
                <ns0:rFonts ns0:ascii="Calibri" ns0:hAnsi="Calibri"/>
                <ns0:b/>
                <ns0:color ns0:val="000000"/>
                <ns0:sz ns0:val="20"/>
              </ns0:rPr>
              <ns0:t>Plain-language rule</ns0:t>
            </ns0:r>
          </ns0:p>
        </ns0:tc>
        <ns0:tc>
          <ns0:tcPr>
            <ns0:tcW ns0:type="dxa" ns0:w="1512"/>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rPr>
                <ns0:rFonts ns0:ascii="Calibri" ns0:hAnsi="Calibri"/>
                <ns0:b/>
                <ns0:color ns0:val="000000"/>
                <ns0:sz ns0:val="20"/>
              </ns0:rPr>
              <ns0:t>Confidence</ns0:t>
            </ns0:r>
          </ns0:p>
        </ns0:tc>
        <ns0:tc>
          <ns0:tcPr>
            <ns0:tcW ns0:type="dxa" ns0:w="1872"/>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rPr>
                <ns0:rFonts ns0:ascii="Calibri" ns0:hAnsi="Calibri"/>
                <ns0:b/>
                <ns0:color ns0:val="000000"/>
                <ns0:sz ns0:val="20"/>
              </ns0:rPr>
              <ns0:t>PPR percentage</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Explicit final source membership in the group or stage union.</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High</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99%</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Unknown finfish or shark/ray composition uses represented-pool proxies.</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Very low</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0.52%</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Verified current and historical names identify the source taxon.</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High</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0.49%</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Related pelagic billfish or mako extends listed source species.</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Medium</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0.21%</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Family spans a supported complete set of named and mixed fish groups.</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Medium</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0.058%</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Southern bluefin uses Pacific bluefin despite habitat/residency mismatch.</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Very low</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ns0:t>
            </ns0:r>
          </ns0:p>
        </ns0:tc>
      </ns0:tr>
    </ns0:tbl>
    <ns0:p>
      <ns0:pPr>
        <ns0:keepNext ns0:val="0"/>
        <ns0:pageBreakBefore ns0:val="0"/>
        <ns0:spacing ns0:after="120"/>
      </ns0:pPr>
      <ns0:r>
        <ns0:t xml:space="preserve">Membership evidence: </ns0:t>
      </ns0:r>
      <ns0:hyperlink ns2:id="rId24">
        <ns0:r>
          <ns0:rPr>
            <ns0:color ns0:val="0563C1"/>
            <ns0:u ns0:val="single"/>
          </ns0:rPr>
          <ns0:t>final definitions, synonyms and complete candidates</ns0:t>
        </ns0:r>
      </ns0:hyperlink>
    </ns0:p>
    <ns0:p>
      <ns0:pPr>
        <ns0:keepNext/>
        <ns0:pageBreakBefore/>
        <ns0:spacing ns0:after="120"/>
      </ns0:pPr>
      <ns0:r>
        <ns0:rPr>
          <ns0:rFonts ns0:ascii="Calibri" ns0:hAnsi="Calibri"/>
          <ns0:b/>
          <ns0:color ns0:val="000000"/>
          <ns0:sz ns0:val="23"/>
        </ns0:rPr>
        <ns0:t>Allocation weight rules</ns0:t>
      </ns0:r>
    </ns0:p>
    <ns0:tbl>
      <ns0:tblPr>
        <ns0:tblW ns0:type="auto" ns0:w="0"/>
        <ns0:tblLayout ns0:type="fixed"/>
        <ns0:tblLook ns0:firstColumn="1" ns0:firstRow="1" ns0:lastColumn="0" ns0:lastRow="0" ns0:noHBand="0" ns0:noVBand="1" ns0:val="04A0"/>
      </ns0:tblPr>
      <ns0:tblGrid>
        <ns0:gridCol ns0:w="6624"/>
        <ns0:gridCol ns0:w="1512"/>
        <ns0:gridCol ns0:w="1872"/>
      </ns0:tblGrid>
      <ns0:tr>
        <ns0:trPr>
          <ns0:tblHeader/>
          <ns0:cantSplit/>
          <ns0:tblHeader/>
          <ns0:cantSplit/>
        </ns0:trPr>
        <ns0:tc>
          <ns0:tcPr>
            <ns0:tcW ns0:type="dxa" ns0:w="6624"/>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rPr>
                <ns0:rFonts ns0:ascii="Calibri" ns0:hAnsi="Calibri"/>
                <ns0:b/>
                <ns0:color ns0:val="000000"/>
                <ns0:sz ns0:val="20"/>
              </ns0:rPr>
              <ns0:t>Plain-language rule</ns0:t>
            </ns0:r>
          </ns0:p>
        </ns0:tc>
        <ns0:tc>
          <ns0:tcPr>
            <ns0:tcW ns0:type="dxa" ns0:w="1512"/>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rPr>
                <ns0:rFonts ns0:ascii="Calibri" ns0:hAnsi="Calibri"/>
                <ns0:b/>
                <ns0:color ns0:val="000000"/>
                <ns0:sz ns0:val="20"/>
              </ns0:rPr>
              <ns0:t>Confidence</ns0:t>
            </ns0:r>
          </ns0:p>
        </ns0:tc>
        <ns0:tc>
          <ns0:tcPr>
            <ns0:tcW ns0:type="dxa" ns0:w="1872"/>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rPr>
                <ns0:rFonts ns0:ascii="Calibri" ns0:hAnsi="Calibri"/>
                <ns0:b/>
                <ns0:color ns0:val="000000"/>
                <ns0:sz ns0:val="20"/>
              </ns0:rPr>
              <ns0:t>PPR percentage</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One group receives the entire catch taxon; no split uncertainty.</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High</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53%</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Historical source total removals provide assumed composition, transferred across areas, years and catch bases.</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Medium</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47%</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Unreported candidate catches reject the catch proxy; complete model biomass assumes regional composition/catchability.</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Medium</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0.089%</ns0:t>
            </ns0:r>
          </ns0:p>
        </ns0:tc>
      </ns0:tr>
    </ns0:tbl>
    <ns0:p>
      <ns0:pPr>
        <ns0:keepNext ns0:val="0"/>
        <ns0:pageBreakBefore ns0:val="0"/>
        <ns0:spacing ns0:after="120"/>
      </ns0:pPr>
      <ns0:r>
        <ns0:t xml:space="preserve">Each percentage is the simple-chain PPR associated with taxa using that rule. Weights and assumptions: </ns0:t>
      </ns0:r>
      <ns0:hyperlink ns2:id="rId25">
        <ns0:r>
          <ns0:rPr>
            <ns0:color ns0:val="0563C1"/>
            <ns0:u ns0:val="single"/>
          </ns0:rPr>
          <ns0:t>source catch, biomass and stage evidence</ns0:t>
        </ns0:r>
      </ns0:hyperlink>
    </ns0:p>
    <ns0:p>
      <ns0:pPr>
        <ns0:keepNext ns0:val="0"/>
        <ns0:pageBreakBefore ns0:val="0"/>
        <ns0:spacing ns0:after="120"/>
      </ns0:pPr>
      <ns0:r>
        <ns0:t>Unresolved taxa: none. Four Very low decisions represent 2.0780% of landings and 0.5194% of simple-chain PPR.</ns0:t>
      </ns0:r>
    </ns0:p>
    <ns0:p>
      <ns0:pPr>
        <ns0:pStyle ns0:val="Heading2"/>
      </ns0:pPr>
      <ns0:r>
        <ns0:t>Very low decisions</ns0:t>
      </ns0:r>
    </ns0:p>
    <ns0:tbl>
      <ns0:tblPr>
        <ns0:tblW ns0:type="auto" ns0:w="0"/>
        <ns0:jc ns0:val="center"/>
        <ns0:tblLayout ns0:type="fixed"/>
        <ns0:tblLook ns0:firstColumn="1" ns0:firstRow="1" ns0:lastColumn="0" ns0:lastRow="0" ns0:noHBand="0" ns0:noVBand="1" ns0:val="04A0"/>
      </ns0:tblPr>
      <ns0:tblGrid>
        <ns0:gridCol ns0:w="3298"/>
        <ns0:gridCol ns0:w="6710"/>
      </ns0:tblGrid>
      <ns0:tr>
        <ns0:trPr>
          <ns0:cantSplit/>
          <ns0:tblHeader/>
        </ns0:trPr>
        <ns0:tc>
          <ns0:tcPr>
            <ns0:tcW ns0:type="dxa" ns0:w="3298"/>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Affected taxa</ns0:t>
            </ns0:r>
          </ns0:p>
        </ns0:tc>
        <ns0:tc>
          <ns0:tcPr>
            <ns0:tcW ns0:type="dxa" ns0:w="6710"/>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Why confidence is very low</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Elasmobranchii</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Unknown sharks, rays and skates composition is approximated by both shark stages and the Manta ray pool. Other rays/skates and benthic elasmobranchs are unrepresented. Source-removal proportions are transferred across areas, years and catch bases.</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Marine pelagic fishes not identified</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Unknown finfish composition is approximated by 22 named and residual fish pools, including flyingfishes and mesopelagic fishes. Omitted pelagic lineages remain uncertain. Model biomass assumes regional composition and catchability, fixed across years.</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Marine fishes not identified</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The provider medium-demersal label uses the 22 represented fish pools as a weak pelagic proxy. Benthic/coastal habitats are absent. Model biomass assumes composition and catchability across the regional catch series.</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Thunnus maccoyii</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Southern bluefin is absent from ETP7. Pacific bluefin is the closest represented taxonomic analogue, with cold-temperate geography, temperature and residency mismatches. Recorded 2019 landings are zero.</ns0:t>
            </ns0:r>
          </ns0:p>
        </ns0:tc>
      </ns0:tr>
    </ns0:tbl>
    <ns0:p>
      <ns0:pPr>
        <ns0:pStyle ns0:val="Heading1"/>
        <ns0:pageBreakBefore/>
        <ns0:keepNext/>
      </ns0:pPr>
      <ns0:r>
        <ns0:t>Geographic evidence screenshots</ns0:t>
      </ns0:r>
    </ns0:p>
    <ns0:p>
      <ns0:pPr>
        <ns0:spacing ns0:after="40" ns0:before="0" ns0:line="240" ns0:lineRule="auto"/>
      </ns0:pPr>
      <ns0:r>
        <ns0:t>Target region R and reconstructed study area S share geographic coordinates and scale. Approximate shelf-break sensitivity and the published study-area denominator support the estimates.</ns0:t>
      </ns0:r>
    </ns0:p>
    <ns0:p>
      <ns0:pPr>
        <ns0:pStyle ns0:val="Heading2"/>
        <ns0:keepNext/>
      </ns0:pPr>
      <ns0:r>
        <ns0:t>Region area</ns0:t>
      </ns0:r>
    </ns0:p>
    <ns0:tbl>
      <ns0:tblPr>
        <ns0:tblW ns0:type="auto" ns0:w="0"/>
        <ns0:jc ns0:val="center"/>
        <ns0:tblLayout ns0:type="fixed"/>
        <ns0:tblLook ns0:firstColumn="1" ns0:firstRow="1" ns0:lastColumn="0" ns0:lastRow="0" ns0:noHBand="0" ns0:noVBand="1" ns0:val="04A0"/>
      </ns0:tblPr>
      <ns0:tblGrid>
        <ns0:gridCol ns0:w="10037"/>
      </ns0:tblGrid>
      <ns0:tr>
        <ns0:trPr>
          <ns0:cantSplit/>
          <ns0:tblHeader/>
          <ns0:tblHeader/>
          <ns0:cantSplit/>
        </ns0:trPr>
        <ns0:tc>
          <ns0:tcPr>
            <ns0:tcW ns0:type="dxa" ns0:w="10037"/>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Eastern Central Pacific high seas HS_077</ns0:t>
            </ns0:r>
          </ns0:p>
        </ns0:tc>
      </ns0:tr>
      <ns0:tr>
        <ns0:trPr>
          <ns0:cantSplit/>
          <ns0:trHeight ns0:val="2880" ns0:hRule="atLeast"/>
          <ns0:cantSplit/>
        </ns0:trPr>
        <ns0:tc>
          <ns0:tcPr>
            <ns0:tcW ns0:type="dxa" ns0:w="10037"/>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keepNext/>
              <ns0:spacing ns0:after="40" ns0:before="0" ns0:line="240" ns0:lineRule="auto"/>
            </ns0:pPr>
            <ns0:r/>
            <ns0:r>
              <ns0:drawing>
                <ns3:inline>
                  <ns3:extent cx="5943600" cy="3302000"/>
                  <ns3:docPr id="1" name="Picture 1"/>
                  <ns3:cNvGraphicFramePr>
                    <ns4:graphicFrameLocks noChangeAspect="1"/>
                  </ns3:cNvGraphicFramePr>
                  <ns4:graphic>
                    <ns4:graphicData uri="http://schemas.openxmlformats.org/drawingml/2006/picture">
                      <ns5:pic>
                        <ns5:nvPicPr>
                          <ns5:cNvPr id="0" name="region_boundary.png"/>
                          <ns5:cNvPicPr/>
                        </ns5:nvPicPr>
                        <ns5:blipFill>
                          <ns4:blip ns2:embed="rId26"/>
                          <ns4:stretch>
                            <ns4:fillRect/>
                          </ns4:stretch>
                        </ns5:blipFill>
                        <ns5:spPr>
                          <ns4:xfrm>
                            <ns4:off x="0" y="0"/>
                            <ns4:ext cx="5943600" cy="3302000"/>
                          </ns4:xfrm>
                          <ns4:prstGeom prst="rect"/>
                        </ns5:spPr>
                      </ns5:pic>
                    </ns4:graphicData>
                  </ns4:graphic>
                </ns3:inline>
              </ns0:drawing>
            </ns0:r>
          </ns0:p>
        </ns0:tc>
      </ns0:tr>
    </ns0:tbl>
    <ns0:p>
      <ns0:pPr>
        <ns0:spacing ns0:after="40" ns0:before="0" ns0:line="240" ns0:lineRule="auto"/>
      </ns0:pPr>
      <ns0:r>
        <ns0:t xml:space="preserve">HS_077: repaired Sea Around Us high-seas region 77 boundary; Natural Earth 1:50m land exclusion. </ns0:t>
      </ns0:r>
      <ns0:r>
        <ns0:t xml:space="preserve"> </ns0:t>
      </ns0:r>
      <ns0:hyperlink ns2:id="rId27">
        <ns0:r>
          <ns0:rPr>
            <ns0:color ns0:val="0563C1"/>
            <ns0:u ns0:val="single"/>
          </ns0:rPr>
          <ns0:t>Target boundary</ns0:t>
        </ns0:r>
      </ns0:hyperlink>
      <ns0:r>
        <ns0:t xml:space="preserve"> | </ns0:t>
      </ns0:r>
      <ns0:hyperlink ns2:id="rId28">
        <ns0:r>
          <ns0:rPr>
            <ns0:color ns0:val="0563C1"/>
            <ns0:u ns0:val="single"/>
          </ns0:rPr>
          <ns0:t>Image</ns0:t>
        </ns0:r>
      </ns0:hyperlink>
    </ns0:p>
    <ns0:p>
      <ns0:pPr>
        <ns0:pStyle ns0:val="Heading2"/>
        <ns0:keepNext/>
        <ns0:pageBreakBefore/>
      </ns0:pPr>
      <ns0:r>
        <ns0:t>Study area in the article</ns0:t>
      </ns0:r>
    </ns0:p>
    <ns0:tbl>
      <ns0:tblPr>
        <ns0:tblW ns0:type="auto" ns0:w="0"/>
        <ns0:jc ns0:val="center"/>
        <ns0:tblLayout ns0:type="fixed"/>
        <ns0:tblLook ns0:firstColumn="1" ns0:firstRow="1" ns0:lastColumn="0" ns0:lastRow="0" ns0:noHBand="0" ns0:noVBand="1" ns0:val="04A0"/>
      </ns0:tblPr>
      <ns0:tblGrid>
        <ns0:gridCol ns0:w="10037"/>
      </ns0:tblGrid>
      <ns0:tr>
        <ns0:trPr>
          <ns0:cantSplit/>
          <ns0:tblHeader/>
          <ns0:tblHeader/>
          <ns0:cantSplit/>
        </ns0:trPr>
        <ns0:tc>
          <ns0:tcPr>
            <ns0:tcW ns0:type="dxa" ns0:w="10037"/>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Reviewer reconstruction of source PDF7 bounds</ns0:t>
            </ns0:r>
          </ns0:p>
        </ns0:tc>
      </ns0:tr>
      <ns0:tr>
        <ns0:trPr>
          <ns0:cantSplit/>
          <ns0:trHeight ns0:val="2880" ns0:hRule="atLeast"/>
          <ns0:cantSplit/>
        </ns0:trPr>
        <ns0:tc>
          <ns0:tcPr>
            <ns0:tcW ns0:type="dxa" ns0:w="10037"/>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keepNext/>
              <ns0:spacing ns0:after="40" ns0:before="0" ns0:line="240" ns0:lineRule="auto"/>
            </ns0:pPr>
            <ns0:r/>
            <ns0:r>
              <ns0:drawing>
                <ns3:inline>
                  <ns3:extent cx="5943600" cy="3302000"/>
                  <ns3:docPr id="2" name="Picture 2"/>
                  <ns3:cNvGraphicFramePr>
                    <ns4:graphicFrameLocks noChangeAspect="1"/>
                  </ns3:cNvGraphicFramePr>
                  <ns4:graphic>
                    <ns4:graphicData uri="http://schemas.openxmlformats.org/drawingml/2006/picture">
                      <ns5:pic>
                        <ns5:nvPicPr>
                          <ns5:cNvPr id="0" name="region_boundary.png"/>
                          <ns5:cNvPicPr/>
                        </ns5:nvPicPr>
                        <ns5:blipFill>
                          <ns4:blip ns2:embed="rId26"/>
                          <ns4:stretch>
                            <ns4:fillRect/>
                          </ns4:stretch>
                        </ns5:blipFill>
                        <ns5:spPr>
                          <ns4:xfrm>
                            <ns4:off x="0" y="0"/>
                            <ns4:ext cx="5943600" cy="3302000"/>
                          </ns4:xfrm>
                          <ns4:prstGeom prst="rect"/>
                        </ns5:spPr>
                      </ns5:pic>
                    </ns4:graphicData>
                  </ns4:graphic>
                </ns3:inline>
              </ns0:drawing>
            </ns0:r>
          </ns0:p>
        </ns0:tc>
      </ns0:tr>
    </ns0:tbl>
    <ns0:p>
      <ns0:pPr>
        <ns0:spacing ns0:after="40" ns0:before="0" ns0:line="240" ns0:lineRule="auto"/>
      </ns0:pPr>
      <ns0:r>
        <ns0:t xml:space="preserve">Olson and Watters (2003), printed p. 137 / PDF7: 20°N–20°S, 150°W to American shelf break; 32.8 million km². Coast-following reconstruction; the original article supplies no study map. </ns0:t>
      </ns0:r>
      <ns0:r>
        <ns0:t xml:space="preserve"> </ns0:t>
      </ns0:r>
      <ns0:hyperlink ns2:id="rId29">
        <ns0:r>
          <ns0:rPr>
            <ns0:color ns0:val="0563C1"/>
            <ns0:u ns0:val="single"/>
          </ns0:rPr>
          <ns0:t>Source passage</ns0:t>
        </ns0:r>
      </ns0:hyperlink>
      <ns0:r>
        <ns0:t xml:space="preserve"> | </ns0:t>
      </ns0:r>
      <ns0:hyperlink ns2:id="rId30">
        <ns0:r>
          <ns0:rPr>
            <ns0:color ns0:val="0563C1"/>
            <ns0:u ns0:val="single"/>
          </ns0:rPr>
          <ns0:t>Bounds page</ns0:t>
        </ns0:r>
      </ns0:hyperlink>
      <ns0:r>
        <ns0:t xml:space="preserve"> | </ns0:t>
      </ns0:r>
      <ns0:hyperlink ns2:id="rId31">
        <ns0:r>
          <ns0:rPr>
            <ns0:color ns0:val="0563C1"/>
            <ns0:u ns0:val="single"/>
          </ns0:rPr>
          <ns0:t>Reconstructed image</ns0:t>
        </ns0:r>
      </ns0:hyperlink>
    </ns0:p>
    <ns0:p>
      <ns0:pPr>
        <ns0:spacing ns0:after="40" ns0:before="0" ns0:line="240" ns0:lineRule="auto"/>
      </ns0:pPr>
      <ns0:r>
        <ns0:t>Original geographic study figure: unavailable. Article Figures 1–4 show sensitivity and dynamic trajectories rather than the study boundary.</ns0:t>
      </ns0:r>
    </ns0:p>
    <ns0:sectPr ns0:rsidR="00FC693F" ns0:rsidRPr="0006063C" ns0:rsidSect="00034616">
      <ns0:type ns0:val="nextPage"/>
      <ns0:pgSz ns0:w="11909" ns0:h="16834"/>
      <ns0:pgMar ns0:top="936" ns0:right="936" ns0:bottom="936" ns0:left="936"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Validation1" Type="http://schemas.openxmlformats.org/officeDocument/2006/relationships/hyperlink" Target="[Excel_appendix.xlsx]" TargetMode="External" /><ns0:Relationship Id="rId9" Type="http://schemas.openxmlformats.org/officeDocument/2006/relationships/hyperlink" Target="../../../../../HS_077.xlsx" TargetMode="External" /><ns0:Relationship Id="rId10" Type="http://schemas.openxmlformats.org/officeDocument/2006/relationships/hyperlink" Target="../../../../../../../HS_077/raw" TargetMode="External" /><ns0:Relationship Id="rId11" Type="http://schemas.openxmlformats.org/officeDocument/2006/relationships/hyperlink" Target="../../../sources/Olson_Watters_2003_ETP-c037fcbc.pdf" TargetMode="External" /><ns0:Relationship Id="rId12" Type="http://schemas.openxmlformats.org/officeDocument/2006/relationships/hyperlink" Target="https://www.iattc.org/en-US/Publication/Commission/Bulletin" TargetMode="External" /><ns0:Relationship Id="rId13" Type="http://schemas.openxmlformats.org/officeDocument/2006/relationships/hyperlink" Target="../../.." TargetMode="External" /><ns0:Relationship Id="rId14" Type="http://schemas.openxmlformats.org/officeDocument/2006/relationships/hyperlink" Target="../model.json" TargetMode="External" /><ns0:Relationship Id="rId15" Type="http://schemas.openxmlformats.org/officeDocument/2006/relationships/hyperlink" Target=".." TargetMode="External" /><ns0:Relationship Id="rId16" Type="http://schemas.openxmlformats.org/officeDocument/2006/relationships/hyperlink" Target="evidence/source_review/evidence/2026-09-28_integration_audit/loaded_state.json" TargetMode="External" /><ns0:Relationship Id="rId17" Type="http://schemas.openxmlformats.org/officeDocument/2006/relationships/hyperlink" Target="../model_notes.md#removed-extraction-evidence" TargetMode="External" /><ns0:Relationship Id="rId18" Type="http://schemas.openxmlformats.org/officeDocument/2006/relationships/hyperlink" Target="../model_notes.md#removed-extraction-evidence" TargetMode="External" /><ns0:Relationship Id="rId19" Type="http://schemas.openxmlformats.org/officeDocument/2006/relationships/hyperlink" Target="evidence/source_review/source_review.md#source-layers-and-scientific-limitations" TargetMode="External" /><ns0:Relationship Id="rId20" Type="http://schemas.openxmlformats.org/officeDocument/2006/relationships/hyperlink" Target="evidence/source_review/geographic_estimate.json" TargetMode="External" /><ns0:Relationship Id="rId21" Type="http://schemas.openxmlformats.org/officeDocument/2006/relationships/hyperlink" Target="evidence/source_review/matrix_inspection.json" TargetMode="External" /><ns0:Relationship Id="rId22" Type="http://schemas.openxmlformats.org/officeDocument/2006/relationships/hyperlink" Target="taxon_mapping.xlsx" TargetMode="External" /><ns0:Relationship Id="rId23" Type="http://schemas.openxmlformats.org/officeDocument/2006/relationships/hyperlink" Target="taxon_mapping.xlsx#Sources%21A1" TargetMode="External" /><ns0:Relationship Id="rId24" Type="http://schemas.openxmlformats.org/officeDocument/2006/relationships/hyperlink" Target="evidence/source_review/source_review.md#membership-and-reporting-scope" TargetMode="External" /><ns0:Relationship Id="rId25" Type="http://schemas.openxmlformats.org/officeDocument/2006/relationships/hyperlink" Target="evidence/source_review/source_review.md#stage-allocation" TargetMode="External" /><ns0:Relationship Id="rId26" Type="http://schemas.openxmlformats.org/officeDocument/2006/relationships/image" Target="media/image1.png" /><ns0:Relationship Id="rId27" Type="http://schemas.openxmlformats.org/officeDocument/2006/relationships/hyperlink" Target="../../../../../../../../common_reference_data/geography/boundaries/HighSeas.geojson" TargetMode="External" /><ns0:Relationship Id="rId28" Type="http://schemas.openxmlformats.org/officeDocument/2006/relationships/hyperlink" Target="evidence/source_review/region_boundary.png" TargetMode="External" /><ns0:Relationship Id="rId29" Type="http://schemas.openxmlformats.org/officeDocument/2006/relationships/hyperlink" Target="../../../sources/Olson_Watters_2003_ETP-c037fcbc.pdf#page=7" TargetMode="External" /><ns0:Relationship Id="rId30" Type="http://schemas.openxmlformats.org/officeDocument/2006/relationships/hyperlink" Target="evidence/source_review/source_bounds_pdf7.png" TargetMode="External" /><ns0:Relationship Id="rId31" Type="http://schemas.openxmlformats.org/officeDocument/2006/relationships/hyperlink" Target="evidence/source_review/study_domain.png" TargetMode="External" /><ns0:Relationship Id="rIdModelNotes" Type="http://schemas.openxmlformats.org/officeDocument/2006/relationships/hyperlink" Target="../model_notes.md" TargetMode="Externa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Reusable evidence summary and LLM completion instructions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