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Humboldt Current, LME_013; Sea Around Us target boundary includes southern Patagonia.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catch series 1950–2019; reference: 2019 landings. All 218 exact labels, including zero catch and unidentified categories.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Regional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Neira, Arancibia, Barros, Arriagada, Alarcón &amp; Gatica (2026). Analysing ecosystem and demersal stocks dynamics in the Chilean Patagonia system (41°28.6′S–57°S) from 1980 to 2020 using food web modelling. Progress in Oceanography 241, 103631.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DOI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Chiaverano et al. (2018), Large jellyfish and forage fishes as energy pathways in the Northern Humboldt Current System. DOI 10.1016/j.pocean.2018.04.009. Northern 1995–1998 alternatives fail all three saved methods.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Other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13_1_Chilean_Patagonia_(1980); one static 1980 Ecopath model, 15 source ecological groups plus synthetic diet_import. Chilean Patagonia channels, fjords and adjacent open waters, approximately 290,000 km².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Canonical JSON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Model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other complete static parameterization identified in this article. The 1980–2020 Ecosim series, fishing scenarios and sensitivity runs are dynamic outputs, not additional static input models.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Source inventory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User selected this available non-failing WARN alternative after comparison with Northern Humboldt 1995–1998 (GE, TE and With Egestion FAIL). Spatial suitability remains a serious limitation; model selection does not establish regional applicability.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Partial paper reconstruction. Referenced supplements S1–S7 are absent from the retained source set. Canonical Sea-lion diet sum 1.002 is preserved; accepted runtime normalizes it at tolerance 0.001, infers BA and supplies GS, detritus/routing, missing-catch and import defaults. Printed rounded biomass and undocumented source BA remain distinct from accepted inputs.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Extraction report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Source/runtime review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or non-finite entries in all 48 source–recipient SPPR values, including unfished groups. rho_living=0.35789474; b=0.02104338; Detritus(15) SPPR=1.04526035. Overall WARN.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or non-finite entries in all 48 source–recipient SPPR values, including unfished groups. rho_living=0.54226475; b=0.00000000; Detritus(15) SPPR=0.99371192. Overall WARN.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7–11% of the target region is covered by the study. B: 60–95% of the study is covered by the region. Different denominators; low-confidence reconstruction, not statistical intervals.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Boundary assessment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1980 ecosystem applied to catch years 1950–2019; the 2019 reference is 39 years later. Fixed coefficients and composition proxies do not reconstruct annual ecosystem changes. Publication in 2026 does not make the 1980 model contemporary.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With Egestion: no negative or non-finite entries across all 48 source–recipient values; rho_living=0.28631579; b=0.02128150; Detritus SPPR=1.05089804. All three computational balances pass in the accepted transformed runtime, but input/source concerns retain WARN. Skates source EE cannot be interpreted without missing BA; no scientific parameters changed.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Full matrices and diagnostics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labels, zero catch and unidentified categories; no group filter.</w:t>
      </w:r>
    </w:p>
    <w:p>
      <w:pPr>
        <w:keepNext w:val="0"/>
        <w:pageBreakBefore w:val="0"/>
        <w:spacing w:after="120"/>
      </w:pPr>
      <w:r>
        <w:t>15 source ecological groups (+1 computational import); 218 catch labels.</w:t>
      </w:r>
    </w:p>
    <w:p>
      <w:pPr>
        <w:keepNext w:val="0"/>
        <w:pageBreakBefore w:val="0"/>
        <w:spacing w:after="120"/>
      </w:pPr>
      <w:r>
        <w:t>Simple-chain PPR totals 277,099,551.43 t C; total catch 7,166,264.97 t.</w:t>
      </w:r>
    </w:p>
    <w:p>
      <w:pPr>
        <w:keepNext w:val="0"/>
        <w:pageBreakBefore w:val="0"/>
        <w:spacing w:after="120"/>
      </w:pPr>
      <w:r>
        <w:t>34 labels lack a saved classic coefficient/TL; all have zero 2019 landings and therefore zero annual PPR. Unavailable TL remains ?, not zero.</w:t>
      </w:r>
    </w:p>
    <w:p>
      <w:pPr>
        <w:keepNext w:val="0"/>
        <w:pageBreakBefore w:val="0"/>
        <w:spacing w:after="120"/>
      </w:pPr>
      <w:r>
        <w:t>Method: independent simple trophic chain, saved classic wet-weight coefficient × catch / 9 once.</w:t>
      </w:r>
    </w:p>
    <w:p>
      <w:pPr>
        <w:keepNext w:val="0"/>
        <w:pageBreakBefore w:val="0"/>
        <w:spacing w:after="120"/>
      </w:pPr>
      <w:hyperlink r:id="rId21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2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69.6458%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12.8861%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31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13.5477%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26.8951%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121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16.8066%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60.2188%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M11: Closest represented taxonomic or ecological analogue; mismatches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55.8164%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M5: Small/medium pelagic ecological extension from named source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18.3892%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M1: Explicit named source membership or combined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12.8071%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M4: Congeneric or related-source taxonomic extension.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8.3729%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M10: Broad-category approximation over compatible represented guilds.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4.4024%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M3: Explicit operative Benthos definition and bottom-associated reporting scope.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0.1534%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M9: Broad label with a supported but composition-dependent candidate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0.0585%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M2: Verified spelling/synonym of a named source taxon.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0.0002%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3">
        <w:r>
          <w:rPr>
            <w:color w:val="0563C1"/>
            <w:u w:val="single"/>
          </w:rPr>
          <w:t>source definitions, taxonomy and all 16 candidate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W1: One reviewed group;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98.6323%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W9: Missing candidate catches prevent complete catch proxy; complete model biomass fallback.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1.2932%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W4: Historical source landings split for Hoki &lt;3/≥3 years.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0.0745%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uses the same complete classic-PPR denominator. Hoki weights 0.006/0.062 and 0.056/0.062 transfer 1980 landings composition to the region. No compatible regional age-catch mass was found. Other multi-group labels use complete candidate biomass because missing source catch is not a genuine zero. </w:t>
      </w:r>
      <w:hyperlink r:id="rId24">
        <w:r>
          <w:rPr>
            <w:color w:val="0563C1"/>
            <w:u w:val="single"/>
          </w:rPr>
          <w:t>Weights and evidence</w:t>
        </w:r>
      </w:hyperlink>
    </w:p>
    <w:p>
      <w:pPr>
        <w:keepNext w:val="0"/>
        <w:pageBreakBefore w:val="0"/>
        <w:spacing w:after="120"/>
      </w:pPr>
      <w:r>
        <w:t>Unresolved: none. Very low: 121 labels represent 16.8066% of landings and 60.2188% of classic PPR. Dosidicus gigas contributes 9.8012% / 38.8770%, Doryteuthis gahi 0.1608% / 0.0732%, Teuthida zero / zero. Their group 6 active-nekton analogy is partial; source small/medium fish, Seriolella-defined group 7 and named demersal predators differ in taxonomy, size and habitat. Sharks/rays, other demersal fish and broad unknowns also use explicit weak analogues or assumed represented pools. Coverage alone does not establish ecological validity.</w:t>
      </w:r>
      <w:r>
        <w:t xml:space="preserve"> Residual marine fish reporting is restricted to source bony-fish pools; Skates is excluded from the fish, finfish and groundfish labels. Composition remains Very low and incomplete source catch requires biomass allocation. </w:t>
      </w:r>
      <w:hyperlink r:id="rId33">
        <w:r>
          <w:rPr>
            <w:color w:val="0563C1"/>
            <w:u w:val="single"/>
          </w:rPr>
          <w:t>Reporting scope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 and study S use geographic coordinates. The reviewed source-map reconstruction is distinct from the inherited rectangular article footprint, which conflicts with the stated study bounds and marine domain.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Humboldt LME_013 target and study location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5715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Sea Around Us target R: 2,560,136 km², including southern Patagonia. Blue = R; orange = source reconstruction. </w:t>
      </w:r>
      <w:r>
        <w:t xml:space="preserve"> </w:t>
      </w:r>
      <w:hyperlink r:id="rId27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28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Approximate source-domain reconstruction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514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y_domai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14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Source S: Methods/PDF4 and Figure 1/PDF2 give 41°28.6′S–57°S, fjords/channels and open water to 35 nautical miles offshore; reported 290,000 km². Image shading trace gives 194,166 km², overlap 183,217 km²; A 7.1565%, B 94.3611% using traced S, B 63.1783% using reported S. Approximate 3–4 km image/coastline resolution and unresolved inner fjords drive the 7–11% / 60–95% sensitivity brackets. The 35-nmi distance is not a fixed longitude offset. </w:t>
      </w:r>
      <w:r>
        <w:t xml:space="preserve"> </w:t>
      </w:r>
      <w:hyperlink r:id="rId29">
        <w:r>
          <w:rPr>
            <w:color w:val="0563C1"/>
            <w:u w:val="single"/>
          </w:rPr>
          <w:t>Source map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Source bounds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Portable reconstruction</w:t>
        </w:r>
      </w:hyperlink>
    </w:p>
    <w:p>
      <w:pPr>
        <w:pageBreakBefore/>
        <w:spacing w:after="40" w:before="0" w:line="240" w:lineRule="auto"/>
      </w:pPr>
      <w:r>
        <w:t>Original source study map: Figure 1 (PDF2), retained below. The abstract/highlights say 55°S, while title, Methods and map indicate 57°S; the latter are used with the discrepancy disclosed. The old −76° to −72°, 41.5°–55°S rectangle includes land and misses the southern/eastern domain.</w:t>
      </w:r>
      <w:r>
        <w:drawing>
          <wp:inline xmlns:a="http://schemas.openxmlformats.org/drawingml/2006/main" xmlns:pic="http://schemas.openxmlformats.org/drawingml/2006/picture">
            <wp:extent cx="5486400" cy="4502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igure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21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13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HUM-2026/1-s2.0-S0079661125002198-main.pdf" TargetMode="External"/><Relationship Id="rId12" Type="http://schemas.openxmlformats.org/officeDocument/2006/relationships/hyperlink" Target="https://doi.org/10.1016/j.pocean.2025.103631" TargetMode="External"/><Relationship Id="rId13" Type="http://schemas.openxmlformats.org/officeDocument/2006/relationships/hyperlink" Target="papers/HUM-2018" TargetMode="External"/><Relationship Id="rId14" Type="http://schemas.openxmlformats.org/officeDocument/2006/relationships/hyperlink" Target="models/13_1_Chilean_Patagonia_%281980%29/model.json" TargetMode="External"/><Relationship Id="rId15" Type="http://schemas.openxmlformats.org/officeDocument/2006/relationships/hyperlink" Target="models/13_1_Chilean_Patagonia_%281980%29" TargetMode="External"/><Relationship Id="rId16" Type="http://schemas.openxmlformats.org/officeDocument/2006/relationships/hyperlink" Target="papers/HUM-2026/extracted/MASTER_INDEX.md" TargetMode="External"/><Relationship Id="rId17" Type="http://schemas.openxmlformats.org/officeDocument/2006/relationships/hyperlink" Target="papers/HUM-2026/extracted/13_1_Chilean_Patagonia_1980/REPORT.md" TargetMode="External"/><Relationship Id="rId18" Type="http://schemas.openxmlformats.org/officeDocument/2006/relationships/hyperlink" Target="validation_reports/13_1_Chilean_Patagonia_%281980%29/source_review.md#source-layers-and-scientific-limitations" TargetMode="External"/><Relationship Id="rId19" Type="http://schemas.openxmlformats.org/officeDocument/2006/relationships/hyperlink" Target="validation_reports/13_1_Chilean_Patagonia_%281980%29/geography/geographic_assessment.json" TargetMode="External"/><Relationship Id="rId20" Type="http://schemas.openxmlformats.org/officeDocument/2006/relationships/hyperlink" Target="validation_reports/13_1_Chilean_Patagonia_%281980%29/matrix_inspection.json" TargetMode="External"/><Relationship Id="rId21" Type="http://schemas.openxmlformats.org/officeDocument/2006/relationships/hyperlink" Target="LME013_taxon_mapping_appendix.xlsx" TargetMode="External"/><Relationship Id="rId22" Type="http://schemas.openxmlformats.org/officeDocument/2006/relationships/hyperlink" Target="LME013_taxon_mapping_appendix.xlsx#Sources%21A1" TargetMode="External"/><Relationship Id="rId23" Type="http://schemas.openxmlformats.org/officeDocument/2006/relationships/hyperlink" Target="validation_reports/13_1_Chilean_Patagonia_%281980%29/source_review.md#membership-and-reporting-scope" TargetMode="External"/><Relationship Id="rId24" Type="http://schemas.openxmlformats.org/officeDocument/2006/relationships/hyperlink" Target="validation_reports/13_1_Chilean_Patagonia_%281980%29/allocation_evidence.json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hyperlink" Target="validation_reports/13_1_Chilean_Patagonia_%281980%29/geography/target_region.geojson" TargetMode="External"/><Relationship Id="rId28" Type="http://schemas.openxmlformats.org/officeDocument/2006/relationships/hyperlink" Target="validation_reports/13_1_Chilean_Patagonia_%281980%29/geography/target_region.png" TargetMode="External"/><Relationship Id="rId29" Type="http://schemas.openxmlformats.org/officeDocument/2006/relationships/hyperlink" Target="papers/HUM-2026/1-s2.0-S0079661125002198-main.pdf#page=2" TargetMode="External"/><Relationship Id="rId30" Type="http://schemas.openxmlformats.org/officeDocument/2006/relationships/hyperlink" Target="papers/HUM-2026/1-s2.0-S0079661125002198-main.pdf#page=4" TargetMode="External"/><Relationship Id="rId31" Type="http://schemas.openxmlformats.org/officeDocument/2006/relationships/hyperlink" Target="validation_reports/13_1_Chilean_Patagonia_%281980%29/geography/study_area_reconstructed.geojson" TargetMode="External"/><Relationship Id="rId32" Type="http://schemas.openxmlformats.org/officeDocument/2006/relationships/image" Target="media/image3.png"/><Relationship Id="rId33" Type="http://schemas.openxmlformats.org/officeDocument/2006/relationships/hyperlink" Target="validation_reports/13_1_Chilean_Patagonia_(1980)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