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14="http://schemas.microsoft.com/office/word/2010/wordml" xmlns:wp14="http://schemas.microsoft.com/office/word/2010/wordprocessingDrawing" ns1:Ignorable="w14 wp14">
  <ns0:body>
    <ns0:p>
      <ns0:pPr>
        <ns0:pStyle ns0:val="Title"/>
      </ns0:pPr>
      <ns0:r>
        <ns0:t>Regional model validation record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203"/>
        <ns0:gridCol ns0:w="7834"/>
      </ns0:tblGrid>
      <ns0:tr>
        <ns0:trPr>
          <ns0:cantSplit/>
          <ns0:tblHeader/>
          <ns0:tblHeader/>
          <ns0:cantSplit/>
        </ns0:trPr>
        <ns0:tc>
          <ns0:tcPr>
            <ns0:tcW ns0:type="dxa" ns0:w="2203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Field</ns0:t>
            </ns0:r>
          </ns0:p>
        </ns0:tc>
        <ns0:tc>
          <ns0:tcPr>
            <ns0:tcW ns0:type="dxa" ns0:w="783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 xml:space="preserve">Entry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Region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Patagonian Shelf, LME_014; source study is the Falkland shelf subarea.</ns0:t>
            </ns0:r>
            <ns0:r>
              <ns0:t xml:space="preserve"> </ns0:t>
            </ns0:r>
            <ns0:hyperlink ns2:id="rId9">
              <ns0:r>
                <ns0:rPr>
                  <ns0:color ns0:val="0563C1"/>
                  <ns0:u ns0:val="single"/>
                </ns0:rPr>
                <ns0:t>Regional workbook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Catch source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Sea Around Us 1950–2019 series; reference: 2019 landings. All 250 exact labels, including zero catch and unidentified categories.</ns0:t>
            </ns0:r>
            <ns0:r>
              <ns0:t xml:space="preserve"> </ns0:t>
            </ns0:r>
            <ns0:hyperlink ns2:id="rId10">
              <ns0:r>
                <ns0:rPr>
                  <ns0:color ns0:val="0563C1"/>
                  <ns0:u ns0:val="single"/>
                </ns0:rPr>
                <ns0:t>Catch inputs</ns0:t>
              </ns0:r>
            </ns0:hyperlink>
            <ns0:r>
              <ns0:t xml:space="preserve"> | </ns0:t>
            </ns0:r>
            <ns0:hyperlink ns2:id="rId9">
              <ns0:r>
                <ns0:rPr>
                  <ns0:color ns0:val="0563C1"/>
                  <ns0:u ns0:val="single"/>
                </ns0:rPr>
                <ns0:t>Regional catch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Selected article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Büring et al. (2024). Unveiling the wasp-waist structure of the Falkland shelf ecosystem: the role of Doryteuthis gahi as a keystone species and its trophic influences. Journal of the Marine Biological Association of the United Kingdom 104, e2. Historical folder PAT-2023.</ns0:t>
            </ns0:r>
            <ns0:r>
              <ns0:t xml:space="preserve"> </ns0:t>
            </ns0:r>
            <ns0:hyperlink ns2:id="rId11">
              <ns0:r>
                <ns0:rPr>
                  <ns0:color ns0:val="0563C1"/>
                  <ns0:u ns0:val="single"/>
                </ns0:rPr>
                <ns0:t>Source PDF</ns0:t>
              </ns0:r>
            </ns0:hyperlink>
            <ns0:r>
              <ns0:t xml:space="preserve"> | </ns0:t>
            </ns0:r>
            <ns0:hyperlink ns2:id="rId12">
              <ns0:r>
                <ns0:rPr>
                  <ns0:color ns0:val="0563C1"/>
                  <ns0:u ns0:val="single"/>
                </ns0:rPr>
                <ns0:t>DOI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Other known articles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Ocampo-Reinaldo et al. (2016), San Matías Gulf 1970 reconstruction. It models another subregional area and has source reconstruction/balance limitations.</ns0:t>
            </ns0:r>
            <ns0:r>
              <ns0:t xml:space="preserve"> </ns0:t>
            </ns0:r>
            <ns0:hyperlink ns2:id="rId13">
              <ns0:r>
                <ns0:rPr>
                  <ns0:color ns0:val="0563C1"/>
                  <ns0:u ns0:val="single"/>
                </ns0:rPr>
                <ns0:t>Other retained model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Selected model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PAT2024_FalklandShelf_2020_native; one native 2020 Ecopath model, 36 source groups (+ synthetic diet_import). Falkland shelf to 300 m, approximately 200,000 km²; EwE 6.6.8.18072.</ns0:t>
            </ns0:r>
            <ns0:r>
              <ns0:t xml:space="preserve"> </ns0:t>
            </ns0:r>
            <ns0:hyperlink ns2:id="rId14">
              <ns0:r>
                <ns0:rPr>
                  <ns0:color ns0:val="0563C1"/>
                  <ns0:u ns0:val="single"/>
                </ns0:rPr>
                <ns0:t>Canonical source</ns0:t>
              </ns0:r>
            </ns0:hyperlink>
            <ns0:r>
              <ns0:t xml:space="preserve"> | </ns0:t>
            </ns0:r>
            <ns0:hyperlink ns2:id="rId15">
              <ns0:r>
                <ns0:rPr>
                  <ns0:color ns0:val="0563C1"/>
                  <ns0:u ns0:val="single"/>
                </ns0:rPr>
                <ns0:t>Model folder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 xml:space="preserve">Other models from the same article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Published-table reconstruction is a different extraction of the same 2020 model, not another final model. S3 initial 45-group parameterization is distinct from the native final 36-group model; dynamic scenarios are not additional static inputs.</ns0:t>
            </ns0:r>
            <ns0:r>
              <ns0:t xml:space="preserve"> </ns0:t>
            </ns0:r>
            <ns0:hyperlink ns2:id="rId16">
              <ns0:r>
                <ns0:rPr>
                  <ns0:color ns0:val="0563C1"/>
                  <ns0:u ns0:val="single"/>
                </ns0:rPr>
                <ns0:t>Model inventory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Selection rationale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User selected the audited native model because it did not FAIL. GE, TE and With Egestion return WARN after coupled completion of source-missing B/EE. Model availability and non-failure do not establish whole-LME suitability.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Model extraction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Main PDF, CSV S1/S2, native database supplement and initial-model DOCX are retained. Source/canonical/accepted computational layers are distinct: coupled missing B/EE, nonconsumer sentinels and native routing are preserved. Native living fate and fleet discards supply Detritus 36 while Discards 35 has consumers; loader negative detritus BA compensation remains a limitation. No scientific parameters rebalanced.</ns0:t>
            </ns0:r>
            <ns0:r>
              <ns0:t xml:space="preserve"> </ns0:t>
            </ns0:r>
            <ns0:hyperlink ns2:id="rId17">
              <ns0:r>
                <ns0:rPr>
                  <ns0:color ns0:val="0563C1"/>
                  <ns0:u ns0:val="single"/>
                </ns0:rPr>
                <ns0:t>Source/runtime review</ns0:t>
              </ns0:r>
            </ns0:hyperlink>
            <ns0:r>
              <ns0:t xml:space="preserve"> | </ns0:t>
            </ns0:r>
            <ns0:hyperlink ns2:id="rId18">
              <ns0:r>
                <ns0:rPr>
                  <ns0:color ns0:val="0563C1"/>
                  <ns0:u ns0:val="single"/>
                </ns0:rPr>
                <ns0:t>Source comparison</ns0:t>
              </ns0:r>
            </ns0:hyperlink>
          </ns0:p>
          <ns0:p>
            <ns0:r>
              <ns0:t>Retained departures and evidence limits: </ns0:t>
            </ns0:r>
            <ns0:hyperlink ns2:id="rIdModelNotes">
              <ns0:r>
                <ns0:rPr>
                  <ns0:color ns0:val="0563C1"/>
                  <ns0:u ns0:val="single"/>
                </ns0:rPr>
                <ns0:t>model notes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SPPR calculation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 xml:space="preserve">[MANUAL — Researcher: calculation choices and reasons]</ns0:t>
            </ns0:r>
          </ns0:p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 xml:space="preserve">[Excluded groups, scope and relevant values; other adjustments]</ns0:t>
            </ns0:r>
          </ns0:p>
        </ns0:tc>
      </ns0:tr>
    </ns0:tbl>
    <ns0:p>
      <ns0:pPr>
        <ns0:spacing ns0:after="40" ns0:before="0" ns0:line="240" ns0:lineRule="auto"/>
        <ns0:pageBreakBefore/>
      </ns0:pPr>
      <ns0:r>
        <ns0:rPr>
          <ns0:rFonts ns0:ascii="Calibri" ns0:hAnsi="Calibri"/>
          <ns0:sz ns0:val="2"/>
          <ns0:color ns0:val="000000"/>
        </ns0:rPr>
        <ns0:t xml:space="preserve"/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203"/>
        <ns0:gridCol ns0:w="7834"/>
      </ns0:tblGrid>
      <ns0:tr>
        <ns0:trPr>
          <ns0:cantSplit/>
          <ns0:tblHeader/>
          <ns0:tblHeader/>
          <ns0:cantSplit/>
        </ns0:trPr>
        <ns0:tc>
          <ns0:tcPr>
            <ns0:tcW ns0:type="dxa" ns0:w="2203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Field</ns0:t>
            </ns0:r>
          </ns0:p>
        </ns0:tc>
        <ns0:tc>
          <ns0:tcPr>
            <ns0:tcW ns0:type="dxa" ns0:w="783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 xml:space="preserve">Entry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GE diagnostics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No negative/nonfinite entries in all 185 source–recipient values, including unfished groups. rho_living=0.28190653; b=0.03672140; Detritus SPPR=1.08718847; Discards=0. Overall WARN. Strict balance passes.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TE diagnostics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No negative/nonfinite entries in all 185 source–recipient values, including unfished groups. rho_living=0.30979371; b=0.00000000; Detritus SPPR=0.94115749; Discards=0. Overall WARN. Strict balance fails: relative gap 0.00012557; maximum Sharks SPPR 63,225,811.23. Near-zero TE groups 32/26/25 and EE=0 Baleen Whales retained.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Geographic fit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Approximate A: 17.09% of target region covered by study. B: about 100% of study covered by target. Reported 200,000 km² and source subarea statement assumed; no verified study polygon.</ns0:t>
            </ns0:r>
            <ns0:r>
              <ns0:t xml:space="preserve"> </ns0:t>
            </ns0:r>
            <ns0:hyperlink ns2:id="rId19">
              <ns0:r>
                <ns0:rPr>
                  <ns0:color ns0:val="0563C1"/>
                  <ns0:u ns0:val="single"/>
                </ns0:rPr>
                <ns0:t>Boundary assessment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Temporal fit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Static 2020 source applied to 1950–2019 catches; reference is one year earlier. Fixed group coefficients and 2020 composition proxies do not reconstruct historical ecosystem change. Article publication is 2024.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Other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With Egestion: all 185 values finite/nonnegative; rho_living=0.22552522, b=0.04221383, Detritus=1.10650126, Discards=0; balance passes, overall WARN. New TE exposure is 97.07% Prionace glauca, a Very low pelagic analogue using unchanged extreme Sharks coefficient. Routing and subregional transfer concerns remain.</ns0:t>
            </ns0:r>
            <ns0:r>
              <ns0:t xml:space="preserve"> </ns0:t>
            </ns0:r>
            <ns0:hyperlink ns2:id="rId20">
              <ns0:r>
                <ns0:rPr>
                  <ns0:color ns0:val="0563C1"/>
                  <ns0:u ns0:val="single"/>
                </ns0:rPr>
                <ns0:t>Full matrices/settings</ns0:t>
              </ns0:r>
            </ns0:hyperlink>
            <ns0:r>
              <ns0:t xml:space="preserve"> | </ns0:t>
            </ns0:r>
            <ns0:hyperlink ns2:id="rId21">
              <ns0:r>
                <ns0:rPr>
                  <ns0:color ns0:val="0563C1"/>
                  <ns0:u ns0:val="single"/>
                </ns0:rPr>
                <ns0:t>Shark exposure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Open issues and next action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sz ns0:val="21"/>
              </ns0:rPr>
              <ns0:t>[Researcher: open issues and next actions]</ns0:t>
              <ns0:br/>
              <ns0:t/>
              <ns0:br/>
              <ns0:t/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Review and reproducibility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sz ns0:val="21"/>
              </ns0:rPr>
              <ns0:t>Researcher name: [name] | review date: [date]</ns0:t>
              <ns0:br/>
              <ns0:t/>
              <ns0:br/>
              <ns0:t/>
              <ns0:br/>
              <ns0:t/>
            </ns0:r>
          </ns0:p>
        </ns0:tc>
      </ns0:tr>
    </ns0:tbl>
    <ns0:p>
      <ns0:pPr>
        <ns0:keepNext/>
        <ns0:pageBreakBefore/>
        <ns0:spacing ns0:after="120"/>
      </ns0:pPr>
      <ns0:r>
        <ns0:rPr>
          <ns0:rFonts ns0:ascii="Calibri" ns0:hAnsi="Calibri"/>
          <ns0:b/>
          <ns0:color ns0:val="000000"/>
          <ns0:sz ns0:val="30"/>
        </ns0:rPr>
        <ns0:t>Taxon mapping and coverage</ns0:t>
      </ns0:r>
    </ns0:p>
    <ns0:p>
      <ns0:pPr>
        <ns0:keepNext ns0:val="0"/>
        <ns0:pageBreakBefore ns0:val="0"/>
        <ns0:spacing ns0:after="120"/>
      </ns0:pPr>
      <ns0:r>
        <ns0:t>Reference: 2019 landings; all catch labels, zero and unidentified categories included; no group filter.</ns0:t>
      </ns0:r>
    </ns0:p>
    <ns0:p>
      <ns0:pPr>
        <ns0:keepNext ns0:val="0"/>
        <ns0:pageBreakBefore ns0:val="0"/>
        <ns0:spacing ns0:after="120"/>
      </ns0:pPr>
      <ns0:r>
        <ns0:t>36 source groups (+1 computational import); 250 exact catch labels.</ns0:t>
      </ns0:r>
    </ns0:p>
    <ns0:p>
      <ns0:pPr>
        <ns0:keepNext ns0:val="0"/>
        <ns0:pageBreakBefore ns0:val="0"/>
        <ns0:spacing ns0:after="120"/>
      </ns0:pPr>
      <ns0:r>
        <ns0:t>Simple-chain PPR totals 142,458,248.78 t C; catch totals 1,497,627.62 t.</ns0:t>
      </ns0:r>
    </ns0:p>
    <ns0:p>
      <ns0:pPr>
        <ns0:keepNext ns0:val="0"/>
        <ns0:pageBreakBefore ns0:val="0"/>
        <ns0:spacing ns0:after="120"/>
      </ns0:pPr>
      <ns0:r>
        <ns0:t>55 labels lack a saved classic coefficient/TL; all have zero 2019 landings and zero annual PPR. Unavailable TL remains ?, not zero.</ns0:t>
      </ns0:r>
    </ns0:p>
    <ns0:p>
      <ns0:pPr>
        <ns0:keepNext ns0:val="0"/>
        <ns0:pageBreakBefore ns0:val="0"/>
        <ns0:spacing ns0:after="120"/>
      </ns0:pPr>
      <ns0:r>
        <ns0:t>Method: independent simple trophic chain, saved classic wet coefficient × catch / 9 once. Percentages use its full unrounded denominator.</ns0:t>
      </ns0:r>
    </ns0:p>
    <ns0:p>
      <ns0:pPr>
        <ns0:keepNext ns0:val="0"/>
        <ns0:pageBreakBefore ns0:val="0"/>
        <ns0:spacing ns0:after="120"/>
      </ns0:pPr>
      <ns0:hyperlink ns2:id="rId22">
        <ns0:r>
          <ns0:rPr>
            <ns0:color ns0:val="0563C1"/>
            <ns0:u ns0:val="single"/>
          </ns0:rPr>
          <ns0:t>Taxon mapping appendix</ns0:t>
        </ns0:r>
      </ns0:hyperlink>
      <ns0:r>
        <ns0:t xml:space="preserve"> and </ns0:t>
      </ns0:r>
      <ns0:hyperlink ns2:id="rId23">
        <ns0:r>
          <ns0:rPr>
            <ns0:color ns0:val="0563C1"/>
            <ns0:u ns0:val="single"/>
          </ns0:rPr>
          <ns0:t>descriptive Sources sheet</ns0:t>
        </ns0:r>
      </ns0:hyperlink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888"/>
        <ns0:gridCol ns0:w="1440"/>
        <ns0:gridCol ns0:w="2304"/>
        <ns0:gridCol ns0:w="2376"/>
      </ns0:tblGrid>
      <ns0:tr>
        <ns0:trPr>
          <ns0:tblHeader/>
          <ns0:cantSplit/>
          <ns0:tblHeader/>
          <ns0:cantSplit/>
        </ns0:trPr>
        <ns0:tc>
          <ns0:tcPr>
            <ns0:tcW ns0:type="dxa" ns0:w="3888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Overall confidence</ns0:t>
            </ns0:r>
          </ns0:p>
        </ns0:tc>
        <ns0:tc>
          <ns0:tcPr>
            <ns0:tcW ns0:type="dxa" ns0:w="1440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Taxa</ns0:t>
            </ns0:r>
          </ns0:p>
        </ns0:tc>
        <ns0:tc>
          <ns0:tcPr>
            <ns0:tcW ns0:type="dxa" ns0:w="230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Catch percentage</ns0:t>
            </ns0:r>
          </ns0:p>
        </ns0:tc>
        <ns0:tc>
          <ns0:tcPr>
            <ns0:tcW ns0:type="dxa" ns0:w="2376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High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27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63.0475%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91.8375%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Medium</ns0:t>
            </ns0:r>
          </ns0:p>
        </ns0:tc>
        <ns0:tc>
          <ns0:tcPr>
            <ns0:tcW ns0:type="dxa" ns0:w="1440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26</ns0:t>
            </ns0:r>
          </ns0:p>
        </ns0:tc>
        <ns0:tc>
          <ns0:tcPr>
            <ns0:tcW ns0:type="dxa" ns0:w="2304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4.1639%</ns0:t>
            </ns0:r>
          </ns0:p>
        </ns0:tc>
        <ns0:tc>
          <ns0:tcPr>
            <ns0:tcW ns0:type="dxa" ns0:w="2376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1.6823%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Low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0.1117%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0.2429%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Very low</ns0:t>
            </ns0:r>
          </ns0:p>
        </ns0:tc>
        <ns0:tc>
          <ns0:tcPr>
            <ns0:tcW ns0:type="dxa" ns0:w="1440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196</ns0:t>
            </ns0:r>
          </ns0:p>
        </ns0:tc>
        <ns0:tc>
          <ns0:tcPr>
            <ns0:tcW ns0:type="dxa" ns0:w="2304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32.6769%</ns0:t>
            </ns0:r>
          </ns0:p>
        </ns0:tc>
        <ns0:tc>
          <ns0:tcPr>
            <ns0:tcW ns0:type="dxa" ns0:w="2376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6.2373%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Unresolved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0.0000%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0.0000%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rPr>
          <ns0:rFonts ns0:ascii="Calibri" ns0:hAnsi="Calibri"/>
          <ns0:b ns0:val="0"/>
          <ns0:color ns0:val="000000"/>
          <ns0:sz ns0:val="21"/>
        </ns0:rPr>
        <ns0:t>The summary uses the weaker required membership or allocation confidence. The following tables show each component separately.</ns0:t>
      </ns0:r>
    </ns0:p>
    <ns0:p>
      <ns0:pPr>
        <ns0:keepNext/>
        <ns0:pageBreakBefore ns0:val="0"/>
        <ns0:spacing ns0:after="120"/>
      </ns0:pPr>
      <ns0:r>
        <ns0:rPr>
          <ns0:rFonts ns0:ascii="Calibri" ns0:hAnsi="Calibri"/>
          <ns0:b/>
          <ns0:color ns0:val="000000"/>
          <ns0:sz ns0:val="23"/>
        </ns0:rPr>
        <ns0:t>Group assignment rules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624"/>
        <ns0:gridCol ns0:w="1512"/>
        <ns0:gridCol ns0:w="1872"/>
      </ns0:tblGrid>
      <ns0:tr>
        <ns0:trPr>
          <ns0:tblHeader/>
          <ns0:cantSplit/>
          <ns0:tblHeader/>
          <ns0:cantSplit/>
        </ns0:trPr>
        <ns0:tc>
          <ns0:tcPr>
            <ns0:tcW ns0:type="dxa" ns0:w="662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Plain-language rule</ns0:t>
            </ns0:r>
          </ns0:p>
        </ns0:tc>
        <ns0:tc>
          <ns0:tcPr>
            <ns0:tcW ns0:type="dxa" ns0:w="151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Confidence</ns0:t>
            </ns0:r>
          </ns0:p>
        </ns0:tc>
        <ns0:tc>
          <ns0:tcPr>
            <ns0:tcW ns0:type="dxa" ns0:w="187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M1: Explicit named final-source member.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92.0523%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M11: Closest meaningful taxonomic or ecological analogue; mismatch retained.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Very 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5.0878%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M9: Supported broader reporting label or combined named taxa.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1.6054%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M10: Broad-category approximation across represented candidates.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Very 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1.1495%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M4: Supported related-source genus/family/order extension.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0.0876%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M3: Explicit bivalve/scallop Small Zoobenthos definition.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0.0174%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t xml:space="preserve">Membership evidence: </ns0:t>
      </ns0:r>
      <ns0:hyperlink ns2:id="rId24">
        <ns0:r>
          <ns0:rPr>
            <ns0:color ns0:val="0563C1"/>
            <ns0:u ns0:val="single"/>
          </ns0:rPr>
          <ns0:t>source definitions and all 37 candidate decisions per taxon</ns0:t>
        </ns0:r>
      </ns0:hyperlink>
    </ns0:p>
    <ns0:p>
      <ns0:pPr>
        <ns0:keepNext/>
        <ns0:pageBreakBefore/>
        <ns0:spacing ns0:after="120"/>
      </ns0:pPr>
      <ns0:r>
        <ns0:rPr>
          <ns0:rFonts ns0:ascii="Calibri" ns0:hAnsi="Calibri"/>
          <ns0:b/>
          <ns0:color ns0:val="000000"/>
          <ns0:sz ns0:val="23"/>
        </ns0:rPr>
        <ns0:t>Allocation weight rules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624"/>
        <ns0:gridCol ns0:w="1512"/>
        <ns0:gridCol ns0:w="1872"/>
      </ns0:tblGrid>
      <ns0:tr>
        <ns0:trPr>
          <ns0:tblHeader/>
          <ns0:cantSplit/>
          <ns0:tblHeader/>
          <ns0:cantSplit/>
        </ns0:trPr>
        <ns0:tc>
          <ns0:tcPr>
            <ns0:tcW ns0:type="dxa" ns0:w="662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Plain-language rule</ns0:t>
            </ns0:r>
          </ns0:p>
        </ns0:tc>
        <ns0:tc>
          <ns0:tcPr>
            <ns0:tcW ns0:type="dxa" ns0:w="151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Confidence</ns0:t>
            </ns0:r>
          </ns0:p>
        </ns0:tc>
        <ns0:tc>
          <ns0:tcPr>
            <ns0:tcW ns0:type="dxa" ns0:w="187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W1: One reviewed group; no numerical split.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95.9104%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W4: Complete native 2020 catch proxy; D. gahi preserved cohort landings.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3.8467%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W5: Identified regional hake donor proportions; reporting-population mismatch.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0.2429%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t xml:space="preserve">W4 uses complete native fleet landings + discards, retaining genuine zero candidates; source mixture is a fixed spatial/temporal assumption. D. gahi cohort landings weights are preserved at 49.237747%/50.762253%. Merluccius Common/Austral weights remain 99.482031%/0.517969%, but W5 is Low because target/donor country, gear and reporting populations differ. </ns0:t>
      </ns0:r>
      <ns0:hyperlink ns2:id="rId25">
        <ns0:r>
          <ns0:rPr>
            <ns0:color ns0:val="0563C1"/>
            <ns0:u ns0:val="single"/>
          </ns0:rPr>
          <ns0:t>Exact weights and evidence</ns0:t>
        </ns0:r>
      </ns0:hyperlink>
    </ns0:p>
    <ns0:p>
      <ns0:pPr>
        <ns0:keepNext ns0:val="0"/>
        <ns0:pageBreakBefore ns0:val="0"/>
        <ns0:spacing ns0:after="120"/>
      </ns0:pPr>
      <ns0:r>
        <ns0:t>Unresolved: none. Very low: 196 labels represent 32.6769% of landings / 6.2373% of classic PPR. Largest weak PPR exposures: Pomatomus saltatrix 1.4754%; Marine fishes not identified 1.0692%; Cynoscion guatucupa 0.7067%; Micropogonias furnieri 0.6159%. Shrimp uses benthic Munida as a decapod analogue; unlisted demersals use both residual pools because no source size cutoff exists; generic categories retain named and residual candidates. Stage, taxonomy, habitat and geography differ. Coverage does not establish ecological validity.</ns0:t>
      </ns0:r>
      <ns0:r>
        <ns0:t xml:space="preserve"> Residual fish reporting uses the verified bony-fish scope: dedicated Dogfish, Sharks and Skates are excluded; source-zero Myctophidae remains eligible. Complete native catch proportions retain Medium allocation confidence. </ns0:t>
      </ns0:r>
      <ns0:hyperlink ns2:id="rId34">
        <ns0:r>
          <ns0:rPr>
            <ns0:color ns0:val="0563C1"/>
            <ns0:u ns0:val="single"/>
          </ns0:rPr>
          <ns0:t>Reporting scope evidence</ns0:t>
        </ns0:r>
      </ns0:hyperlink>
    </ns0:p>
    <ns0:p>
      <ns0:pPr>
        <ns0:pStyle ns0:val="Title"/>
        <ns0:pageBreakBefore/>
        <ns0:keepNext/>
        <ns0:pageBreakBefore/>
      </ns0:pPr>
      <ns0:r>
        <ns0:t>Geographic evidence screenshots</ns0:t>
      </ns0:r>
    </ns0:p>
    <ns0:p>
      <ns0:pPr>
        <ns0:spacing ns0:after="40" ns0:before="0" ns0:line="240" ns0:lineRule="auto"/>
      </ns0:pPr>
      <ns0:r>
        <ns0:t>Target R and study S are separate geographic objects. The reported shelf area/subarea relationship supports approximate overlap assumptions; source sampling maps do not provide a verified 300 m study outline.</ns0:t>
      </ns0:r>
    </ns0:p>
    <ns0:p>
      <ns0:pPr>
        <ns0:pStyle ns0:val="Heading2"/>
        <ns0:keepNext/>
      </ns0:pPr>
      <ns0:r>
        <ns0:t>Region area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0037"/>
      </ns0:tblGrid>
      <ns0:tr>
        <ns0:trPr>
          <ns0:cantSplit/>
          <ns0:tblHeader/>
          <ns0:tblHeader/>
          <ns0:cantSplit/>
        </ns0:trPr>
        <ns0:tc>
          <ns0:tcPr>
            <ns0:tcW ns0:type="dxa" ns0:w="10037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t>Patagonian Shelf LME_014 target region</ns0:t>
            </ns0:r>
          </ns0:p>
        </ns0:tc>
      </ns0:tr>
      <ns0:tr>
        <ns0:trPr>
          <ns0:cantSplit/>
          <ns0:trHeight ns0:val="2880" ns0:hRule="atLeast"/>
          <ns0:cantSplit/>
        </ns0:trPr>
        <ns0:tc>
          <ns0:tcPr>
            <ns0:tcW ns0:type="dxa" ns0:w="10037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/>
            <ns0:r>
              <ns0:drawing>
                <ns3:inline>
                  <ns3:extent cx="4572000" cy="3779520"/>
                  <ns3:docPr id="1" name="Picture 1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target_region.png"/>
                          <ns5:cNvPicPr/>
                        </ns5:nvPicPr>
                        <ns5:blipFill>
                          <ns4:blip ns2:embed="rId26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0" cy="3779520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ns0:drawing>
            </ns0:r>
          </ns0:p>
        </ns0:tc>
      </ns0:tr>
    </ns0:tbl>
    <ns0:p>
      <ns0:pPr>
        <ns0:spacing ns0:after="40" ns0:before="0" ns0:line="240" ns0:lineRule="auto"/>
      </ns0:pPr>
      <ns0:r>
        <ns0:t xml:space="preserve">Target R: Sea Around Us Patagonian Shelf boundary, geodesic area 1,170,516 km². Blue = target; point locates Falkland Islands. </ns0:t>
      </ns0:r>
      <ns0:r>
        <ns0:t xml:space="preserve"> </ns0:t>
      </ns0:r>
      <ns0:hyperlink ns2:id="rId28">
        <ns0:r>
          <ns0:rPr>
            <ns0:color ns0:val="0563C1"/>
            <ns0:u ns0:val="single"/>
          </ns0:rPr>
          <ns0:t>Target boundary</ns0:t>
        </ns0:r>
      </ns0:hyperlink>
      <ns0:r>
        <ns0:t xml:space="preserve"> | </ns0:t>
      </ns0:r>
      <ns0:hyperlink ns2:id="rId29">
        <ns0:r>
          <ns0:rPr>
            <ns0:color ns0:val="0563C1"/>
            <ns0:u ns0:val="single"/>
          </ns0:rPr>
          <ns0:t>Image</ns0:t>
        </ns0:r>
      </ns0:hyperlink>
    </ns0:p>
    <ns0:p>
      <ns0:pPr>
        <ns0:pStyle ns0:val="Heading2"/>
        <ns0:keepNext/>
        <ns0:pageBreakBefore/>
      </ns0:pPr>
      <ns0:r>
        <ns0:t>Study area in the article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0037"/>
      </ns0:tblGrid>
      <ns0:tr>
        <ns0:trPr>
          <ns0:cantSplit/>
          <ns0:tblHeader/>
          <ns0:tblHeader/>
          <ns0:cantSplit/>
        </ns0:trPr>
        <ns0:tc>
          <ns0:tcPr>
            <ns0:tcW ns0:type="dxa" ns0:w="10037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t>Source sampling map — Figure 1</ns0:t>
            </ns0:r>
          </ns0:p>
        </ns0:tc>
      </ns0:tr>
      <ns0:tr>
        <ns0:trPr>
          <ns0:cantSplit/>
          <ns0:trHeight ns0:val="2880" ns0:hRule="atLeast"/>
          <ns0:cantSplit/>
        </ns0:trPr>
        <ns0:tc>
          <ns0:tcPr>
            <ns0:tcW ns0:type="dxa" ns0:w="10037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/>
            <ns0:r>
              <ns0:drawing>
                <ns3:inline>
                  <ns3:extent cx="4572000" cy="3251791"/>
                  <ns3:docPr id="2" name="Picture 2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source_figure1.png"/>
                          <ns5:cNvPicPr/>
                        </ns5:nvPicPr>
                        <ns5:blipFill>
                          <ns4:blip ns2:embed="rId27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0" cy="3251791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ns0:drawing>
            </ns0:r>
          </ns0:p>
        </ns0:tc>
      </ns0:tr>
    </ns0:tbl>
    <ns0:p>
      <ns0:pPr>
        <ns0:spacing ns0:after="40" ns0:before="0" ns0:line="240" ns0:lineRule="auto"/>
      </ns0:pPr>
      <ns0:r>
        <ns0:t xml:space="preserve">Source S: p.6 reports Falkland shelf to 300 m, about 200,000 km², a subarea of the Patagonian Shelf LME. Assuming nearly all S lies in R: A≈200,000/1,170,516=17.09%; B≈200,000/200,000=100%. These are reported-area assumptions, not measured polygon overlaps or statistical intervals. Figure 1 shows samples/conservation zones and Figure 2 a D. gahi survey area; neither recovers the 300 m model contour. </ns0:t>
      </ns0:r>
      <ns0:r>
        <ns0:t xml:space="preserve"> </ns0:t>
      </ns0:r>
      <ns0:hyperlink ns2:id="rId30">
        <ns0:r>
          <ns0:rPr>
            <ns0:color ns0:val="0563C1"/>
            <ns0:u ns0:val="single"/>
          </ns0:rPr>
          <ns0:t>Source map</ns0:t>
        </ns0:r>
      </ns0:hyperlink>
      <ns0:r>
        <ns0:t xml:space="preserve"> | </ns0:t>
      </ns0:r>
      <ns0:hyperlink ns2:id="rId31">
        <ns0:r>
          <ns0:rPr>
            <ns0:color ns0:val="0563C1"/>
            <ns0:u ns0:val="single"/>
          </ns0:rPr>
          <ns0:t>Source domain</ns0:t>
        </ns0:r>
      </ns0:hyperlink>
      <ns0:r>
        <ns0:t xml:space="preserve"> | </ns0:t>
      </ns0:r>
      <ns0:hyperlink ns2:id="rId19">
        <ns0:r>
          <ns0:rPr>
            <ns0:color ns0:val="0563C1"/>
            <ns0:u ns0:val="single"/>
          </ns0:rPr>
          <ns0:t>Assessment</ns0:t>
        </ns0:r>
      </ns0:hyperlink>
    </ns0:p>
    <ns0:p>
      <ns0:pPr>
        <ns0:spacing ns0:after="40" ns0:before="0" ns0:line="240" ns0:lineRule="auto"/>
      </ns0:pPr>
      <ns0:r>
        <ns0:t xml:space="preserve">The inherited rectangle (64–56°W, 53–48°S) is not the source shelf polygon. Remove its live article display; preserve historical footprint and original source figure. Exact replacement remains unavailable. Target geography is retained. </ns0:t>
      </ns0:r>
      <ns0:r>
        <ns0:t xml:space="preserve"> </ns0:t>
      </ns0:r>
      <ns0:hyperlink ns2:id="rId32">
        <ns0:r>
          <ns0:rPr>
            <ns0:color ns0:val="0563C1"/>
            <ns0:u ns0:val="single"/>
          </ns0:rPr>
          <ns0:t>Historical rectangle</ns0:t>
        </ns0:r>
      </ns0:hyperlink>
      <ns0:r>
        <ns0:t xml:space="preserve"> | </ns0:t>
      </ns0:r>
      <ns0:hyperlink ns2:id="rId33">
        <ns0:r>
          <ns0:rPr>
            <ns0:color ns0:val="0563C1"/>
            <ns0:u ns0:val="single"/>
          </ns0:rPr>
          <ns0:t>Original full map page</ns0:t>
        </ns0:r>
      </ns0:hyperlink>
    </ns0:p>
    <ns0:sectPr ns0:rsidR="00FC693F" ns0:rsidRPr="0006063C" ns0:rsidSect="00034616">
      <ns0:type ns0:val="nextPage"/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Validation1" Type="http://schemas.openxmlformats.org/officeDocument/2006/relationships/hyperlink" Target="[Excel_appendix.xlsx]" TargetMode="External" /><ns0:Relationship Id="rId9" Type="http://schemas.openxmlformats.org/officeDocument/2006/relationships/hyperlink" Target="../../../../../LME_014.xlsx" TargetMode="External" /><ns0:Relationship Id="rId10" Type="http://schemas.openxmlformats.org/officeDocument/2006/relationships/hyperlink" Target="../../../../../../../LME_014/raw" TargetMode="External" /><ns0:Relationship Id="rId11" Type="http://schemas.openxmlformats.org/officeDocument/2006/relationships/hyperlink" Target="../../../sources/unveiling-the-wasp-waist-structure-of-the--6ddbcdca.pdf" TargetMode="External" /><ns0:Relationship Id="rId12" Type="http://schemas.openxmlformats.org/officeDocument/2006/relationships/hyperlink" Target="https://doi.org/10.1017/S0025315423000887" TargetMode="External" /><ns0:Relationship Id="rId13" Type="http://schemas.openxmlformats.org/officeDocument/2006/relationships/hyperlink" Target="../../../../LME014-OcampoReinaldo-2016/models/OcampoReinaldo2016_SanMatiasGulf_1970/extracted_tables/evidence/source_report.md" TargetMode="External" /><ns0:Relationship Id="rId14" Type="http://schemas.openxmlformats.org/officeDocument/2006/relationships/hyperlink" Target="../../PAT2024_FalklandShelf_2020_native__source/model.json" TargetMode="External" /><ns0:Relationship Id="rId15" Type="http://schemas.openxmlformats.org/officeDocument/2006/relationships/hyperlink" Target="../../PAT2024_FalklandShelf_2020_native__source" TargetMode="External" /><ns0:Relationship Id="rId16" Type="http://schemas.openxmlformats.org/officeDocument/2006/relationships/hyperlink" Target="../model_notes.md#removed-extraction-evidence" TargetMode="External" /><ns0:Relationship Id="rId17" Type="http://schemas.openxmlformats.org/officeDocument/2006/relationships/hyperlink" Target="evidence/source_review/source_review.md#source-layers-and-scientific-limitations" TargetMode="External" /><ns0:Relationship Id="rId18" Type="http://schemas.openxmlformats.org/officeDocument/2006/relationships/hyperlink" Target="evidence/source_review/source_fidelity_verification.json" TargetMode="External" /><ns0:Relationship Id="rId19" Type="http://schemas.openxmlformats.org/officeDocument/2006/relationships/hyperlink" Target="evidence/source_review/geography/geographic_assessment.json" TargetMode="External" /><ns0:Relationship Id="rId20" Type="http://schemas.openxmlformats.org/officeDocument/2006/relationships/hyperlink" Target="evidence/source_review/direct_diagnostics_full.json" TargetMode="External" /><ns0:Relationship Id="rId21" Type="http://schemas.openxmlformats.org/officeDocument/2006/relationships/hyperlink" Target="evidence/source_review/Sharks27_exposure_review.json" TargetMode="External" /><ns0:Relationship Id="rId22" Type="http://schemas.openxmlformats.org/officeDocument/2006/relationships/hyperlink" Target="taxon_mapping.xlsx" TargetMode="External" /><ns0:Relationship Id="rId23" Type="http://schemas.openxmlformats.org/officeDocument/2006/relationships/hyperlink" Target="taxon_mapping.xlsx#Sources%21A1" TargetMode="External" /><ns0:Relationship Id="rId24" Type="http://schemas.openxmlformats.org/officeDocument/2006/relationships/hyperlink" Target="evidence/source_review/source_review.md#membership-and-reporting-scope" TargetMode="External" /><ns0:Relationship Id="rId25" Type="http://schemas.openxmlformats.org/officeDocument/2006/relationships/hyperlink" Target="evidence/source_review/allocation_evidence.json" TargetMode="External" /><ns0:Relationship Id="rId26" Type="http://schemas.openxmlformats.org/officeDocument/2006/relationships/image" Target="media/image1.png" /><ns0:Relationship Id="rId27" Type="http://schemas.openxmlformats.org/officeDocument/2006/relationships/image" Target="media/image2.png" /><ns0:Relationship Id="rId28" Type="http://schemas.openxmlformats.org/officeDocument/2006/relationships/hyperlink" Target="evidence/source_review/geography/target_region_boundary.geojson" TargetMode="External" /><ns0:Relationship Id="rId29" Type="http://schemas.openxmlformats.org/officeDocument/2006/relationships/hyperlink" Target="evidence/source_review/geography/target_region.png" TargetMode="External" /><ns0:Relationship Id="rId30" Type="http://schemas.openxmlformats.org/officeDocument/2006/relationships/hyperlink" Target="../../../sources/unveiling-the-wasp-waist-structure-of-the--6ddbcdca.pdf#page=3" TargetMode="External" /><ns0:Relationship Id="rId31" Type="http://schemas.openxmlformats.org/officeDocument/2006/relationships/hyperlink" Target="../../../sources/unveiling-the-wasp-waist-structure-of-the--6ddbcdca.pdf#page=6" TargetMode="External" /><ns0:Relationship Id="rId32" Type="http://schemas.openxmlformats.org/officeDocument/2006/relationships/hyperlink" Target="evidence/source_review/geography/inherited_article_footprint.geojson" TargetMode="External" /><ns0:Relationship Id="rId33" Type="http://schemas.openxmlformats.org/officeDocument/2006/relationships/hyperlink" Target="evidence/source_review/geography/source_page_3.png" TargetMode="External" /><ns0:Relationship Id="rId34" Type="http://schemas.openxmlformats.org/officeDocument/2006/relationships/hyperlink" Target="evidence/source_review/residual_fish_scope_followup.json" TargetMode="External" /><ns0:Relationship Id="rIdModelNotes" Type="http://schemas.openxmlformats.org/officeDocument/2006/relationships/hyperlink" Target="../model_notes.md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