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Regional model validation record</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Region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North Sea, LME_022; Sea Around Us marine target region.</ns0:t>
            </ns0:r>
            <ns0:r>
              <ns0:t xml:space="preserve"> </ns0:t>
            </ns0:r>
            <ns0:hyperlink ns2:id="rId9">
              <ns0:r>
                <ns0:rPr>
                  <ns0:color ns0:val="0563C1"/>
                  <ns0:u ns0:val="single"/>
                </ns0:rPr>
                <ns0:t>Regional workbook</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Catch source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Sea Around Us series 1950–2019; reference: 2019 total catch (landings plus discards). All 384 exact labels, including zero catch and unidentified categories.</ns0:t>
            </ns0:r>
            <ns0:r>
              <ns0:t xml:space="preserve"> </ns0:t>
            </ns0:r>
            <ns0:hyperlink ns2:id="rId10">
              <ns0:r>
                <ns0:rPr>
                  <ns0:color ns0:val="0563C1"/>
                  <ns0:u ns0:val="single"/>
                </ns0:rPr>
                <ns0:t>Catch inputs</ns0:t>
              </ns0:r>
            </ns0:hyperlink>
            <ns0:r>
              <ns0:t xml:space="preserve"> | </ns0:t>
            </ns0:r>
            <ns0:hyperlink ns2:id="rId9">
              <ns0:r>
                <ns0:rPr>
                  <ns0:color ns0:val="0563C1"/>
                  <ns0:u ns0:val="single"/>
                </ns0:rPr>
                <ns0:t>Regional catch</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Saygu et al. (2025). Historical ecosystem models can serve as a baseline for indicator-based assessment: the North Sea. Frontiers in Marine Science. DOI 10.3389/fmars.2025.1646031.</ns0:t>
            </ns0:r>
            <ns0:r>
              <ns0:t xml:space="preserve"> </ns0:t>
            </ns0:r>
            <ns0:hyperlink ns2:id="rId11">
              <ns0:r>
                <ns0:rPr>
                  <ns0:color ns0:val="0563C1"/>
                  <ns0:u ns0:val="single"/>
                </ns0:rPr>
                <ns0:t>Source PDF</ns0:t>
              </ns0:r>
            </ns0:hyperlink>
            <ns0:r>
              <ns0:t xml:space="preserve"> | </ns0:t>
            </ns0:r>
            <ns0:hyperlink ns2:id="rId12">
              <ns0:r>
                <ns0:rPr>
                  <ns0:color ns0:val="0563C1"/>
                  <ns0:u ns0:val="single"/>
                </ns0:rPr>
                <ns0:t>DOI</ns0:t>
              </ns0:r>
            </ns0:hyperlink>
            <ns0:r>
              <ns0:t xml:space="preserve"> | </ns0:t>
            </ns0:r>
            <ns0:hyperlink ns2:id="rId13">
              <ns0:r>
                <ns0:rPr>
                  <ns0:color ns0:val="0563C1"/>
                  <ns0:u ns0:val="single"/>
                </ns0:rPr>
                <ns0:t>Four-table supplement</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 known articles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Retained alternatives: Mackinson &amp; Daskalov (2007), whole North Sea 1991; Hill et al. (2021), northern North Sea 1991 static model with 1991–2018 simulations; Pint et al. (2024), southern North Sea bight 1991. NS-2014 has no verified local full text.</ns0:t>
            </ns0:r>
            <ns0:r>
              <ns0:t xml:space="preserve"> </ns0:t>
            </ns0:r>
            <ns0:hyperlink ns2:id="rId14">
              <ns0:r>
                <ns0:rPr>
                  <ns0:color ns0:val="0563C1"/>
                  <ns0:u ns0:val="single"/>
                </ns0:rPr>
                <ns0:t>Alternative material review</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model</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22_20251990_East_Coast_of_Scotland_(1991-1995); East Coast of Scotland 1991–1995. 25 source ecological groups plus synthetic diet_import. Historical shelf/fishing grounds extending around Orkney/Shetland; partial North Sea coverage.</ns0:t>
            </ns0:r>
            <ns0:r>
              <ns0:t xml:space="preserve"> </ns0:t>
            </ns0:r>
            <ns0:hyperlink ns2:id="rId15">
              <ns0:r>
                <ns0:rPr>
                  <ns0:color ns0:val="0563C1"/>
                  <ns0:u ns0:val="single"/>
                </ns0:rPr>
                <ns0:t>Canonical JSON</ns0:t>
              </ns0:r>
            </ns0:hyperlink>
            <ns0:r>
              <ns0:t xml:space="preserve"> | </ns0:t>
            </ns0:r>
            <ns0:hyperlink ns2:id="rId16">
              <ns0:r>
                <ns0:rPr>
                  <ns0:color ns0:val="0563C1"/>
                  <ns0:u ns0:val="single"/>
                </ns0:rPr>
                <ns0:t>Model folder</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Other models from the same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Same article also presents an 1890–1895 East Coast Scotland static model with identical 25-group topology. It is an extracted unselected candidate, distinct from the selected 1991–1995 parameterization. Historical data do not support multistanza groups.</ns0:t>
            </ns0:r>
            <ns0:r>
              <ns0:t xml:space="preserve"> </ns0:t>
            </ns0:r>
            <ns0:hyperlink ns2:id="rId17">
              <ns0:r>
                <ns0:rPr>
                  <ns0:color ns0:val="0563C1"/>
                  <ns0:u ns0:val="single"/>
                </ns0:rPr>
                <ns0:t>1890s canonical model</ns0:t>
              </ns0:r>
            </ns0:hyperlink>
            <ns0:r>
              <ns0:t xml:space="preserve"> | </ns0:t>
            </ns0:r>
            <ns0:hyperlink ns2:id="rId18">
              <ns0:r>
                <ns0:rPr>
                  <ns0:color ns0:val="0563C1"/>
                  <ns0:u ns0:val="single"/>
                </ns0:rPr>
                <ns0:t>Source review</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Selection rationale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User previously preferred this exact model for the least SPPR failures. GE and With Egestion are OK; TE FAIL persists. Model choice remains provisional for whole-region geographic transfer and accepted source/runtime differences.</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Model extraction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Main PDF, four-sheet Table S 1–S 4 workbook and methods DOCX are retained. Existing audit matched 97 printed core parameters,232 source diet cells and 775 roundtrip values. Canonical parameters preserved; accepted diet normalization, GS defaults and residual BA completion are documented. Source Turbot/Ling balance is indeterminate without BA; computational balance is a separate finding.</ns0:t>
            </ns0:r>
            <ns0:r>
              <ns0:t xml:space="preserve"> </ns0:t>
            </ns0:r>
            <ns0:hyperlink ns2:id="rId19">
              <ns0:r>
                <ns0:rPr>
                  <ns0:color ns0:val="0563C1"/>
                  <ns0:u ns0:val="single"/>
                </ns0:rPr>
                <ns0:t>Source/runtime audit</ns0:t>
              </ns0:r>
            </ns0:hyperlink>
            <ns0:r>
              <ns0:t xml:space="preserve"> | </ns0:t>
            </ns0:r>
            <ns0:hyperlink ns2:id="rId20">
              <ns0:r>
                <ns0:rPr>
                  <ns0:color ns0:val="0563C1"/>
                  <ns0:u ns0:val="single"/>
                </ns0:rPr>
                <ns0:t>Runtime verification</ns0:t>
              </ns0:r>
            </ns0:hyperlink>
            <ns0:r>
              <ns0:t xml:space="preserve"> | </ns0:t>
            </ns0:r>
            <ns0:hyperlink ns2:id="rId18">
              <ns0:r>
                <ns0:rPr>
                  <ns0:color ns0:val="0563C1"/>
                  <ns0:u ns0:val="single"/>
                </ns0:rPr>
                <ns0:t>Evidence review</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SPPR calculation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rPr>
              <ns0:t xml:space="preserve">[MANUAL — Researcher: calculation choices and reasons]</ns0:t>
            </ns0:r>
          </ns0:p>
          <ns0:p>
            <ns0:pPr>
              <ns0:spacing ns0:after="40" ns0:before="0" ns0:line="240" ns0:lineRule="auto"/>
            </ns0:pPr>
            <ns0:r>
              <ns0:rPr>
                <ns0:rFonts ns0:ascii="Calibri" ns0:hAnsi="Calibri"/>
                <ns0:sz ns0:val="21"/>
                <ns0:color ns0:val="000000"/>
              </ns0:rPr>
              <ns0:t xml:space="preserve">[Excluded groups, scope and relevant values; other adjustments]</ns0:t>
            </ns0:r>
          </ns0:p>
        </ns0:tc>
      </ns0:tr>
    </ns0:tbl>
    <ns0:p>
      <ns0:pPr>
        <ns0:spacing ns0:after="40" ns0:before="0" ns0:line="240" ns0:lineRule="auto"/>
        <ns0:pageBreakBefore/>
      </ns0:pPr>
      <ns0:r>
        <ns0:rPr>
          <ns0:rFonts ns0:ascii="Calibri" ns0:hAnsi="Calibri"/>
          <ns0:sz ns0:val="2"/>
          <ns0:color ns0:val="000000"/>
        </ns0:rPr>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 negative SPPR entries across all 78 basal-source/recipient cells, including unfished groups. rho_living=0.21208967; b=0.06994712; Detritus(25) SPPR=1.08329080. Overall OK.</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Negative pairings: Detritus(25) → Seabirds(22), −460,709.192379; Phytoplankton(1) → Seabirds(22), −1,916,160.319156. Unfished Seabirds remain in the reviewed configuration. rho_living=1.11277844; Detritus SPPR=0.81044893. Overall FAIL.</ns0:t>
            </ns0:r>
            <ns0:r>
              <ns0:t xml:space="preserve"> </ns0:t>
            </ns0:r>
            <ns0:hyperlink ns2:id="rId21">
              <ns0:r>
                <ns0:rPr>
                  <ns0:color ns0:val="0563C1"/>
                  <ns0:u ns0:val="single"/>
                </ns0:rPr>
                <ns0:t>Full TE matrix</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Geographic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Approximate A:37–42% of the target region is covered by the study. B:99–100% of the study is inside the region. Different denominators; source-map/land-mask sensitivity brackets, not statistical intervals.</ns0:t>
            </ns0:r>
            <ns0:r>
              <ns0:t xml:space="preserve"> </ns0:t>
            </ns0:r>
            <ns0:hyperlink ns2:id="rId22">
              <ns0:r>
                <ns0:rPr>
                  <ns0:color ns0:val="0563C1"/>
                  <ns0:u ns0:val="single"/>
                </ns0:rPr>
                <ns0:t>Geographic assessment</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Temporal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Static 1991–1995 ecosystem coefficients are applied across catch years 1950–2019. The 2019 reference is 24–28 years later. Fixed biomass/catch composition proxies do not reconstruct annual ecosystem change; publication 2025 does not make the historical model contemporary.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With Egestion: no negative SPPR entries across all 78 cells; rho_living=0.16967174; b=0.09714913; Detritus SPPR=1.20948850; overall OK. Source excludes discards, whereas regional total catch includes them. Reconstructed/defaulted runtime fidelity and geographic transfer remain limited; no scientific parameter repair made.</ns0:t>
            </ns0:r>
            <ns0:r>
              <ns0:t xml:space="preserve"> </ns0:t>
            </ns0:r>
            <ns0:hyperlink ns2:id="rId23">
              <ns0:r>
                <ns0:rPr>
                  <ns0:color ns0:val="0563C1"/>
                  <ns0:u ns0:val="single"/>
                </ns0:rPr>
                <ns0:t>All matrices and diagnostics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Open issues and next 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open issues and next actions]</ns0:t>
              <ns0:br/>
              <ns0:t/>
              <ns0:br/>
              <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Review and reproducibility</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name: [name] | review date: [date]</ns0:t>
              <ns0:br/>
              <ns0:t/>
              <ns0:br/>
              <ns0:t/>
              <ns0:br/>
              <ns0:t/>
            </ns0:r>
          </ns0:p>
        </ns0:tc>
      </ns0:tr>
    </ns0:tbl>
    <ns0:p>
      <ns0:pPr>
        <ns0:keepNext/>
        <ns0:pageBreakBefore/>
        <ns0:spacing ns0:after="120"/>
      </ns0:pPr>
      <ns0:r>
        <ns0:rPr>
          <ns0:rFonts ns0:ascii="Calibri" ns0:hAnsi="Calibri"/>
          <ns0:b/>
          <ns0:color ns0:val="000000"/>
          <ns0:sz ns0:val="30"/>
        </ns0:rPr>
        <ns0:t>Taxon mapping and coverage</ns0:t>
      </ns0:r>
    </ns0:p>
    <ns0:p>
      <ns0:pPr>
        <ns0:keepNext ns0:val="0"/>
        <ns0:pageBreakBefore ns0:val="0"/>
        <ns0:spacing ns0:after="120"/>
      </ns0:pPr>
      <ns0:r>
        <ns0:t>Reference:2019 total catch; all catch labels, including zero catch and unidentified categories; no group filter.</ns0:t>
      </ns0:r>
    </ns0:p>
    <ns0:p>
      <ns0:pPr>
        <ns0:keepNext ns0:val="0"/>
        <ns0:pageBreakBefore ns0:val="0"/>
        <ns0:spacing ns0:after="120"/>
      </ns0:pPr>
      <ns0:r>
        <ns0:t>25 source ecological groups (+1 computational import);384 catch labels.</ns0:t>
      </ns0:r>
    </ns0:p>
    <ns0:p>
      <ns0:pPr>
        <ns0:keepNext ns0:val="0"/>
        <ns0:pageBreakBefore ns0:val="0"/>
        <ns0:spacing ns0:after="120"/>
      </ns0:pPr>
      <ns0:r>
        <ns0:t>Independent simple-chain PPR totals 188,909,420.83 t C; total catch 2,717,260.70 t.</ns0:t>
      </ns0:r>
    </ns0:p>
    <ns0:p>
      <ns0:pPr>
        <ns0:keepNext ns0:val="0"/>
        <ns0:pageBreakBefore ns0:val="0"/>
        <ns0:spacing ns0:after="120"/>
      </ns0:pPr>
      <ns0:r>
        <ns0:t>72 labels lack a saved classic coefficient/TL; all have zero 2019 total catch and therefore zero annual PPR. Unavailable TL remains ?, not zero.</ns0:t>
      </ns0:r>
    </ns0:p>
    <ns0:p>
      <ns0:pPr>
        <ns0:keepNext ns0:val="0"/>
        <ns0:pageBreakBefore ns0:val="0"/>
        <ns0:spacing ns0:after="120"/>
      </ns0:pPr>
      <ns0:r>
        <ns0:t>Method: saved classic wet-weight coefficient × total catch /9 once. Model-mapping coverage and classic-PPR confidence shares are different measures.</ns0:t>
      </ns0:r>
    </ns0:p>
    <ns0:p>
      <ns0:pPr>
        <ns0:keepNext ns0:val="0"/>
        <ns0:pageBreakBefore ns0:val="0"/>
        <ns0:spacing ns0:after="120"/>
      </ns0:pPr>
      <ns0:hyperlink ns2:id="rId24">
        <ns0:r>
          <ns0:rPr>
            <ns0:color ns0:val="0563C1"/>
            <ns0:u ns0:val="single"/>
          </ns0:rPr>
          <ns0:t>Taxon mapping appendix</ns0:t>
        </ns0:r>
      </ns0:hyperlink>
      <ns0:r>
        <ns0:t xml:space="preserve"> and </ns0:t>
      </ns0:r>
      <ns0:hyperlink ns2:id="rId25">
        <ns0:r>
          <ns0:rPr>
            <ns0:color ns0:val="0563C1"/>
            <ns0:u ns0:val="single"/>
          </ns0:rPr>
          <ns0:t>descriptive Sources sheet</ns0:t>
        </ns0:r>
      </ns0:hyperlink>
    </ns0:p>
    <ns0:tbl>
      <ns0:tblPr>
        <ns0:tblW ns0:type="auto" ns0:w="0"/>
        <ns0:tblLayout ns0:type="fixed"/>
        <ns0:tblLook ns0:firstColumn="1" ns0:firstRow="1" ns0:lastColumn="0" ns0:lastRow="0" ns0:noHBand="0" ns0:noVBand="1" ns0:val="04A0"/>
      </ns0:tblPr>
      <ns0:tblGrid>
        <ns0:gridCol ns0:w="3888"/>
        <ns0:gridCol ns0:w="1440"/>
        <ns0:gridCol ns0:w="2304"/>
        <ns0:gridCol ns0:w="2376"/>
      </ns0:tblGrid>
      <ns0:tr>
        <ns0:trPr>
          <ns0:tblHeader/>
          <ns0:cantSplit/>
          <ns0:tblHeader/>
          <ns0:cantSplit/>
        </ns0:trPr>
        <ns0:tc>
          <ns0:tcPr>
            <ns0:tcW ns0:type="dxa" ns0:w="3888"/>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Overall confidence</ns0:t>
            </ns0:r>
          </ns0:p>
        </ns0:tc>
        <ns0:tc>
          <ns0:tcPr>
            <ns0:tcW ns0:type="dxa" ns0:w="1440"/>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Taxa</ns0:t>
            </ns0:r>
          </ns0:p>
        </ns0:tc>
        <ns0:tc>
          <ns0:tcPr>
            <ns0:tcW ns0:type="dxa" ns0:w="230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Catch percentage</ns0:t>
            </ns0:r>
          </ns0:p>
        </ns0:tc>
        <ns0:tc>
          <ns0:tcPr>
            <ns0:tcW ns0:type="dxa" ns0:w="2376"/>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High</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99</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86.0235%</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92.0810%</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Medium</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160</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1.9378%</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4.0424%</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Low</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0.0291%</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0.0250%</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Very low</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110</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12.0072%</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3.8483%</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Unresolved</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12</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0.0023%</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0.0034%</ns0:t>
            </ns0:r>
          </ns0:p>
        </ns0:tc>
      </ns0:tr>
    </ns0:tbl>
    <ns0:p>
      <ns0:pPr>
        <ns0:keepNext ns0:val="0"/>
        <ns0:pageBreakBefore ns0:val="0"/>
        <ns0:spacing ns0:after="120"/>
      </ns0:pPr>
      <ns0:r>
        <ns0:rPr>
          <ns0:rFonts ns0:ascii="Calibri" ns0:hAnsi="Calibri"/>
          <ns0:b ns0:val="0"/>
          <ns0:color ns0:val="000000"/>
          <ns0:sz ns0:val="21"/>
        </ns0:rPr>
        <ns0:t>The summary uses the weaker required membership or allocation confidence. The following tables show each component separately.</ns0:t>
      </ns0:r>
    </ns0:p>
    <ns0:p>
      <ns0:pPr>
        <ns0:keepNext/>
        <ns0:pageBreakBefore ns0:val="0"/>
        <ns0:spacing ns0:after="120"/>
      </ns0:pPr>
      <ns0:r>
        <ns0:rPr>
          <ns0:rFonts ns0:ascii="Calibri" ns0:hAnsi="Calibri"/>
          <ns0:b/>
          <ns0:color ns0:val="000000"/>
          <ns0:sz ns0:val="23"/>
        </ns0:rPr>
        <ns0:t>Group assignment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 named source membership.</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91.5075%</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Broad-category approximation over compatible pools.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3.6610%</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Related taxonomic extension from source representatives.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2.0138%</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eligible set with inferred reporting composition.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1.9563%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 operative source category or complete union.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0.3413%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Verified spelling identity of source taxon.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0.2411%</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Closest taxonomic/ecological analogue with stated mismatch.</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0.1873%</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ecological extension.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0.0634%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Partial/conflicting source-pool fit.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0.0250%</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No meaningful represented membership established.</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Unresolved</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0.0034%</ns0:t>
            </ns0:r>
          </ns0:p>
        </ns0:tc>
      </ns0:tr>
    </ns0:tbl>
    <ns0:p>
      <ns0:pPr>
        <ns0:keepNext ns0:val="0"/>
        <ns0:pageBreakBefore ns0:val="0"/>
        <ns0:spacing ns0:after="120"/>
      </ns0:pPr>
      <ns0:r>
        <ns0:t xml:space="preserve">Membership evidence: </ns0:t>
      </ns0:r>
      <ns0:hyperlink ns2:id="rId26">
        <ns0:r>
          <ns0:rPr>
            <ns0:color ns0:val="0563C1"/>
            <ns0:u ns0:val="single"/>
          </ns0:rPr>
          <ns0:t>source definitions, primary taxonomy and complete candidate review</ns0:t>
        </ns0:r>
      </ns0:hyperlink>
      <ns0:r>
        <ns0:t xml:space="preserve"> Exact residual fish reporting keys use Osteichthyes/ISSC AAP 39; dedicated Sharks &amp; rays is excluded. Reconstructed mixtures remain provisional. </ns0:t>
      </ns0:r>
      <ns0:hyperlink ns2:id="rId27">
        <ns0:r>
          <ns0:rPr>
            <ns0:color ns0:val="0563C1"/>
            <ns0:u ns0:val="single"/>
          </ns0:rPr>
          <ns0:t>SAU/FAO scope bridge</ns0:t>
        </ns0:r>
      </ns0:hyperlink>
    </ns0:p>
    <ns0:p>
      <ns0:pPr>
        <ns0:keepNext/>
        <ns0:pageBreakBefore/>
        <ns0:spacing ns0:after="120"/>
      </ns0:pPr>
      <ns0:r>
        <ns0:rPr>
          <ns0:rFonts ns0:ascii="Calibri" ns0:hAnsi="Calibri"/>
          <ns0:b/>
          <ns0:color ns0:val="000000"/>
          <ns0:sz ns0:val="23"/>
        </ns0:rPr>
        <ns0:t>Allocation weight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Single reviewed group; no numerical split.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96.3707%</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Complete historical source-landings proportions.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3.6214%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Missing source catches; complete model-biomass fallback.</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0.0046%</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No eligible group; allocation unavailable.</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Unresolved</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0.0034%</ns0:t>
            </ns0:r>
          </ns0:p>
        </ns0:tc>
      </ns0:tr>
    </ns0:tbl>
    <ns0:p>
      <ns0:pPr>
        <ns0:keepNext ns0:val="0"/>
        <ns0:pageBreakBefore ns0:val="0"/>
        <ns0:spacing ns0:after="120"/>
      </ns0:pPr>
      <ns0:r>
        <ns0:t xml:space="preserve">Each rule table uses the same complete classic-PPR denominator, once per taxon. Multi-group splits use 1991–1995 landings shares only when every candidate has genuine source catch. Missing Infauna/Large zooplankton source catches trigger complete biomass fallback. Historical Scottish composition is assumed for the wider region, all years and total catch including discards. </ns0:t>
      </ns0:r>
      <ns0:hyperlink ns2:id="rId28">
        <ns0:r>
          <ns0:rPr>
            <ns0:color ns0:val="0563C1"/>
            <ns0:u ns0:val="single"/>
          </ns0:rPr>
          <ns0:t>Weights and rejected catch attempts</ns0:t>
        </ns0:r>
      </ns0:hyperlink>
    </ns0:p>
    <ns0:p>
      <ns0:pPr>
        <ns0:keepNext ns0:val="0"/>
        <ns0:pageBreakBefore ns0:val="0"/>
        <ns0:spacing ns0:after="120"/>
      </ns0:pPr>
      <ns0:r>
        <ns0:t>Very low: 110 labels, 12.0072% of catch and 3.8483% of classic PPR. Broad marine fish/invertebrate labels and unlisted reef, bathyal, diadromous or taxonomically distant forms use explicit approximate pools/analogues. Unresolved:12 freshwater labels, 0.0023% catch and 0.0034% PPR: Carassius carassius, Cyprinidae, Cyprinus carpio, Esox lucius, Hypophthalmichthys nobilis, Leuciscus idus, Lota lota, Perca fluviatilis, Rutilus rutilus, Sander lucioperca, Scardinius erythrophthalmus and Tinca tinca. No meaningful marine analogue was established. Coverage does not establish ecological validity.</ns0:t>
      </ns0:r>
      <ns0:r>
        <ns0:t xml:space="preserve"> Separately, Marine fishes not identified contributes 12.49% of GE,12.36% of TE and 12.22% of With Egestion model PPR. These are method-specific shares, not the classic-PPR percentages above. </ns0:t>
      </ns0:r>
      <ns0:hyperlink ns2:id="rId29">
        <ns0:r>
          <ns0:rPr>
            <ns0:color ns0:val="0563C1"/>
            <ns0:u ns0:val="single"/>
          </ns0:rPr>
          <ns0:t>Method contribution review</ns0:t>
        </ns0:r>
      </ns0:hyperlink>
    </ns0:p>
    <ns0:p>
      <ns0:pPr>
        <ns0:pStyle ns0:val="Title"/>
        <ns0:pageBreakBefore/>
        <ns0:keepNext/>
        <ns0:pageBreakBefore/>
      </ns0:pPr>
      <ns0:r>
        <ns0:t>Geographic evidence screenshots</ns0:t>
      </ns0:r>
    </ns0:p>
    <ns0:p>
      <ns0:pPr>
        <ns0:spacing ns0:after="40" ns0:before="0" ns0:line="240" ns0:lineRule="auto"/>
      </ns0:pPr>
      <ns0:r>
        <ns0:t>Target R and study S are distinct geographic objects. The source red-outline trace includes marine historical East Coast Scotland grounds; the inherited rectangular article footprint conflicts with that outline.</ns0:t>
      </ns0:r>
    </ns0:p>
    <ns0:p>
      <ns0:pPr>
        <ns0:pStyle ns0:val="Heading2"/>
        <ns0:keepNext/>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North Sea target and Scotland study location</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4572000"/>
                  <ns3:docPr id="1" name="Picture 1"/>
                  <ns3:cNvGraphicFramePr>
                    <ns4:graphicFrameLocks noChangeAspect="1"/>
                  </ns3:cNvGraphicFramePr>
                  <ns4:graphic>
                    <ns4:graphicData uri="http://schemas.openxmlformats.org/drawingml/2006/picture">
                      <ns5:pic>
                        <ns5:nvPicPr>
                          <ns5:cNvPr id="0" name="target_region.png"/>
                          <ns5:cNvPicPr/>
                        </ns5:nvPicPr>
                        <ns5:blipFill>
                          <ns4:blip ns2:embed="rId30"/>
                          <ns4:stretch>
                            <ns4:fillRect/>
                          </ns4:stretch>
                        </ns5:blipFill>
                        <ns5:spPr>
                          <ns4:xfrm>
                            <ns4:off x="0" y="0"/>
                            <ns4:ext cx="4572000" cy="4572000"/>
                          </ns4:xfrm>
                          <ns4:prstGeom prst="rect"/>
                        </ns5:spPr>
                      </ns5:pic>
                    </ns4:graphicData>
                  </ns4:graphic>
                </ns3:inline>
              </ns0:drawing>
            </ns0:r>
          </ns0:p>
        </ns0:tc>
      </ns0:tr>
    </ns0:tbl>
    <ns0:p>
      <ns0:pPr>
        <ns0:spacing ns0:after="40" ns0:before="0" ns0:line="240" ns0:lineRule="auto"/>
      </ns0:pPr>
      <ns0:r>
        <ns0:t xml:space="preserve">Sea Around Us target R: 699,166 km². Blue=target; orange=source reconstruction. </ns0:t>
      </ns0:r>
      <ns0:r>
        <ns0:t xml:space="preserve"> </ns0:t>
      </ns0:r>
      <ns0:hyperlink ns2:id="rId32">
        <ns0:r>
          <ns0:rPr>
            <ns0:color ns0:val="0563C1"/>
            <ns0:u ns0:val="single"/>
          </ns0:rPr>
          <ns0:t>Target boundary</ns0:t>
        </ns0:r>
      </ns0:hyperlink>
      <ns0:r>
        <ns0:t xml:space="preserve"> | </ns0:t>
      </ns0:r>
      <ns0:hyperlink ns2:id="rId33">
        <ns0:r>
          <ns0:rPr>
            <ns0:color ns0:val="0563C1"/>
            <ns0:u ns0:val="single"/>
          </ns0:rPr>
          <ns0:t>Map image</ns0:t>
        </ns0:r>
      </ns0:hyperlink>
    </ns0:p>
    <ns0:p>
      <ns0:pPr>
        <ns0:pStyle ns0:val="Heading2"/>
        <ns0:keepNext/>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Approximate historical Scotland source domain</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4572000"/>
                  <ns3:docPr id="2" name="Picture 2"/>
                  <ns3:cNvGraphicFramePr>
                    <ns4:graphicFrameLocks noChangeAspect="1"/>
                  </ns3:cNvGraphicFramePr>
                  <ns4:graphic>
                    <ns4:graphicData uri="http://schemas.openxmlformats.org/drawingml/2006/picture">
                      <ns5:pic>
                        <ns5:nvPicPr>
                          <ns5:cNvPr id="0" name="study_domain.png"/>
                          <ns5:cNvPicPr/>
                        </ns5:nvPicPr>
                        <ns5:blipFill>
                          <ns4:blip ns2:embed="rId31"/>
                          <ns4:stretch>
                            <ns4:fillRect/>
                          </ns4:stretch>
                        </ns5:blipFill>
                        <ns5:spPr>
                          <ns4:xfrm>
                            <ns4:off x="0" y="0"/>
                            <ns4:ext cx="4572000" cy="4572000"/>
                          </ns4:xfrm>
                          <ns4:prstGeom prst="rect"/>
                        </ns5:spPr>
                      </ns5:pic>
                    </ns4:graphicData>
                  </ns4:graphic>
                </ns3:inline>
              </ns0:drawing>
            </ns0:r>
          </ns0:p>
        </ns0:tc>
      </ns0:tr>
    </ns0:tbl>
    <ns0:p>
      <ns0:pPr>
        <ns0:spacing ns0:after="40" ns0:before="0" ns0:line="240" ns0:lineRule="auto"/>
      </ns0:pPr>
      <ns0:r>
        <ns0:t xml:space="preserve">Source Figure 1/PDF 3 and Methods 2.1 describe East Coast Scotland shelf/fleet grounds, including Orkney/Shetland, above the 400 m contour. Trace calibrated to source grid, land excluded consistently: study 276,921 km²; overlap 276,487 km². A=39.55%; B=99.84%. ±0.1° outline sensitivity gives approximate 37–42%/99–100% brackets. The red outline is not an exact bathymetric/fishing-effort mask. </ns0:t>
      </ns0:r>
      <ns0:r>
        <ns0:t xml:space="preserve"> </ns0:t>
      </ns0:r>
      <ns0:hyperlink ns2:id="rId34">
        <ns0:r>
          <ns0:rPr>
            <ns0:color ns0:val="0563C1"/>
            <ns0:u ns0:val="single"/>
          </ns0:rPr>
          <ns0:t>Source figure</ns0:t>
        </ns0:r>
      </ns0:hyperlink>
      <ns0:r>
        <ns0:t xml:space="preserve"> | </ns0:t>
      </ns0:r>
      <ns0:hyperlink ns2:id="rId35">
        <ns0:r>
          <ns0:rPr>
            <ns0:color ns0:val="0563C1"/>
            <ns0:u ns0:val="single"/>
          </ns0:rPr>
          <ns0:t>Portable reconstruction</ns0:t>
        </ns0:r>
      </ns0:hyperlink>
    </ns0:p>
    <ns0:p>
      <ns0:pPr>
        <ns0:pageBreakBefore/>
        <ns0:spacing ns0:after="40" ns0:before="0" ns0:line="240" ns0:lineRule="auto"/>
      </ns0:pPr>
      <ns0:r>
        <ns0:t>Original source Figure 1 (PDF 3), red study outline. The inherited −4° to 1°E,55.8°–61°N rectangle misses the northern/eastern source outline and includes land; retained as historical evidence only.</ns0:t>
      </ns0:r>
      <ns0:r>
        <ns0:drawing>
          <ns3:inline>
            <ns3:extent cx="4389120" cy="5337005"/>
            <ns3:docPr id="3" name="Picture 3"/>
            <ns3:cNvGraphicFramePr>
              <ns4:graphicFrameLocks noChangeAspect="1"/>
            </ns3:cNvGraphicFramePr>
            <ns4:graphic>
              <ns4:graphicData uri="http://schemas.openxmlformats.org/drawingml/2006/picture">
                <ns5:pic>
                  <ns5:nvPicPr>
                    <ns5:cNvPr id="0" name="source_figure1.png"/>
                    <ns5:cNvPicPr/>
                  </ns5:nvPicPr>
                  <ns5:blipFill>
                    <ns4:blip ns2:embed="rId36"/>
                    <ns4:stretch>
                      <ns4:fillRect/>
                    </ns4:stretch>
                  </ns5:blipFill>
                  <ns5:spPr>
                    <ns4:xfrm>
                      <ns4:off x="0" y="0"/>
                      <ns4:ext cx="4389120" cy="5337005"/>
                    </ns4:xfrm>
                    <ns4:prstGeom prst="rect"/>
                  </ns5:spPr>
                </ns5:pic>
              </ns4:graphicData>
            </ns4:graphic>
          </ns3:inline>
        </ns0:drawing>
      </ns0:r>
    </ns0:p>
    <ns0:sectPr ns0:rsidR="00FC693F" ns0:rsidRPr="0006063C" ns0:rsidSect="00034616">
      <ns0:type ns0:val="nextPage"/>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Validation1" Type="http://schemas.openxmlformats.org/officeDocument/2006/relationships/hyperlink" Target="[Excel_appendix.xlsx]" TargetMode="External" /><ns0:Relationship Id="rId9" Type="http://schemas.openxmlformats.org/officeDocument/2006/relationships/hyperlink" Target="../../../../../LME_022.xlsx" TargetMode="External" /><ns0:Relationship Id="rId10" Type="http://schemas.openxmlformats.org/officeDocument/2006/relationships/hyperlink" Target="../../../../../../../LME_022/raw" TargetMode="External" /><ns0:Relationship Id="rId11" Type="http://schemas.openxmlformats.org/officeDocument/2006/relationships/hyperlink" Target="../../../sources/pdf-aa2228c7.pdf" TargetMode="External" /><ns0:Relationship Id="rId12" Type="http://schemas.openxmlformats.org/officeDocument/2006/relationships/hyperlink" Target="https://doi.org/10.3389/fmars.2025.1646031" TargetMode="External" /><ns0:Relationship Id="rId13" Type="http://schemas.openxmlformats.org/officeDocument/2006/relationships/hyperlink" Target="../../../sources/Table_1_Historical_ecosystem_models_can_se-cb73b080.xlsx" TargetMode="External" /><ns0:Relationship Id="rId14" Type="http://schemas.openxmlformats.org/officeDocument/2006/relationships/hyperlink" Target="evidence/source_review/material_identity.json" TargetMode="External" /><ns0:Relationship Id="rId15" Type="http://schemas.openxmlformats.org/officeDocument/2006/relationships/hyperlink" Target="../model.json" TargetMode="External" /><ns0:Relationship Id="rId16" Type="http://schemas.openxmlformats.org/officeDocument/2006/relationships/hyperlink" Target=".." TargetMode="External" /><ns0:Relationship Id="rId17" Type="http://schemas.openxmlformats.org/officeDocument/2006/relationships/hyperlink" Target="../../22_20251890_East_Coast_of_Scotland_(1890-1895)/model.json" TargetMode="External" /><ns0:Relationship Id="rId18" Type="http://schemas.openxmlformats.org/officeDocument/2006/relationships/hyperlink" Target="evidence/source_review/source_review.md" TargetMode="External" /><ns0:Relationship Id="rId19" Type="http://schemas.openxmlformats.org/officeDocument/2006/relationships/hyperlink" Target="../model_notes.md#removed-extraction-evidence" TargetMode="External" /><ns0:Relationship Id="rId20" Type="http://schemas.openxmlformats.org/officeDocument/2006/relationships/hyperlink" Target="../model_notes.md#removed-extraction-evidence" TargetMode="External" /><ns0:Relationship Id="rId21" Type="http://schemas.openxmlformats.org/officeDocument/2006/relationships/hyperlink" Target="../model_notes.md#removed-extraction-evidence" TargetMode="External" /><ns0:Relationship Id="rId22" Type="http://schemas.openxmlformats.org/officeDocument/2006/relationships/hyperlink" Target="evidence/source_review/geography/geographic_assessment.json" TargetMode="External" /><ns0:Relationship Id="rId23" Type="http://schemas.openxmlformats.org/officeDocument/2006/relationships/hyperlink" Target="evidence/source_review/matrix_inspection.json" TargetMode="External" /><ns0:Relationship Id="rId24" Type="http://schemas.openxmlformats.org/officeDocument/2006/relationships/hyperlink" Target="taxon_mapping.xlsx" TargetMode="External" /><ns0:Relationship Id="rId25" Type="http://schemas.openxmlformats.org/officeDocument/2006/relationships/hyperlink" Target="taxon_mapping.xlsx#Sources%21A1" TargetMode="External" /><ns0:Relationship Id="rId26" Type="http://schemas.openxmlformats.org/officeDocument/2006/relationships/hyperlink" Target="evidence/source_review/source_review.md#membership-and-reporting-scope" TargetMode="External" /><ns0:Relationship Id="rId27" Type="http://schemas.openxmlformats.org/officeDocument/2006/relationships/hyperlink" Target="evidence/source_review/reporting_scope_sources/source_manifest.json" TargetMode="External" /><ns0:Relationship Id="rId28" Type="http://schemas.openxmlformats.org/officeDocument/2006/relationships/hyperlink" Target="evidence/source_review/allocation_evidence.json" TargetMode="External" /><ns0:Relationship Id="rId29" Type="http://schemas.openxmlformats.org/officeDocument/2006/relationships/hyperlink" Target="evidence/source_review/method_contribution_exposure.json" TargetMode="External" /><ns0:Relationship Id="rId30" Type="http://schemas.openxmlformats.org/officeDocument/2006/relationships/image" Target="media/image1.png" /><ns0:Relationship Id="rId31" Type="http://schemas.openxmlformats.org/officeDocument/2006/relationships/image" Target="media/image2.png" /><ns0:Relationship Id="rId32" Type="http://schemas.openxmlformats.org/officeDocument/2006/relationships/hyperlink" Target="evidence/source_review/geography/target_region.geojson" TargetMode="External" /><ns0:Relationship Id="rId33" Type="http://schemas.openxmlformats.org/officeDocument/2006/relationships/hyperlink" Target="evidence/source_review/geography/target_region.png" TargetMode="External" /><ns0:Relationship Id="rId34" Type="http://schemas.openxmlformats.org/officeDocument/2006/relationships/hyperlink" Target="../../../sources/pdf-aa2228c7.pdf#page=3" TargetMode="External" /><ns0:Relationship Id="rId35" Type="http://schemas.openxmlformats.org/officeDocument/2006/relationships/hyperlink" Target="evidence/source_review/geography/study_area_reconstructed.geojson" TargetMode="External" /><ns0:Relationship Id="rId36" Type="http://schemas.openxmlformats.org/officeDocument/2006/relationships/image" Target="media/image3.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