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Regional model validation record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Celtic-Biscay Shelf, LME_024. Selected study is the Celtic Sea shelf subarea.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1950–2019 landings/catch/discards. Reference: 2019 landings; all 488 exact labels, including zero catch and unidentified categories. Retained API retrieval September 2026.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Catch files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Hernvann et al. (2020). The Celtic Sea Through Time and Space: Ecosystem Modeling to Unravel Fishing and Climate Change Impacts on Food-Web Structure and Dynamics. Frontiers in Marine Science 7:578717.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DOI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Main PDF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Complete supplement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Lauria, Posen &amp; Mackinson (2016): 65-group Celtic Sea 1991–2012 report; no verified local full input set. Bentorcha et al. (2017): Celtic Sea/Bay of Biscay 1980–2013 trophic models; retained PDF, incomplete static inputs.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2016 DOI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2017 DOI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Hernvann_2020_Celtic_Sea_1985; one fully tabulated 1985 static baseline, 54 source groups (+ synthetic diet_import). Shelf shallower than 200 m, ICES 7.e/f/g/h/j.2. Canonical source selected; accepted computational routing adapter is distinct.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Canonical JSON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Accepted runtime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1985–2016 dynamic simulation and six mean-period snapshots are not complete additional static models. Supplement B4 input/completed columns refer to the same 1985 baseline; no second final model. Two snapshot period labels conflict between article and supplement.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separate comparison reason not recorded (?). Model: user explicitly selected the extracted failing 1985 Celtic Sea model for provisional research. GE/With Egestion remain FAIL; TE is unsupported; production eligibility remains false.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Verified main PDF and full supplement support the source reconstruction. Canonical diets round to 0.996–1.002 and routing is absent: strict admission is NOT_RUN. Accepted adapter normalizes diets, completes six PB/missing Megrim EE and routing; printed BA and source conflicts remain. Source P/Q conflicts, zero bird biomass and physical balance failures limit validity. No scientific inputs rebalanced.</ns0:t>
            </ns0:r>
            <ns0:r>
              <ns0:t xml:space="preserve"> </ns0:t>
            </ns0:r>
            <ns0:hyperlink ns2:id="rId18">
              <ns0:r>
                <ns0:rPr>
                  <ns0:color ns0:val="0563C1"/>
                  <ns0:u ns0:val="single"/>
                </ns0:rPr>
                <ns0:t>Source layers</ns0:t>
              </ns0:r>
            </ns0:hyperlink>
            <ns0:r>
              <ns0:t xml:space="preserve"> | </ns0:t>
            </ns0:r>
            <ns0:hyperlink ns2:id="rId19">
              <ns0:r>
                <ns0:rPr>
                  <ns0:color ns0:val="0563C1"/>
                  <ns0:u ns0:val="single"/>
                </ns0:rPr>
                <ns0:t>Retained extraction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all five basal-source columns and all 55 recipients, including unfished groups. rho_living=0.41833433; b=0.52012021; Discards53 SPPR=529.29249131; Detritus54=1.58366795. Overall FAIL: living production residual up to 35.38%; PP balance gap 30.13%.</ns0:t>
            </ns0:r>
            <ns0:r>
              <ns0:t xml:space="preserve"> </ns0:t>
            </ns0:r>
            <ns0:hyperlink ns2:id="rId20">
              <ns0:r>
                <ns0:rPr>
                  <ns0:color ns0:val="0563C1"/>
                  <ns0:u ns0:val="single"/>
                </ns0:rPr>
                <ns0:t>Full matrix and returns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FAIL: TE_RETURN_UNSUPPORTED for this two-pool fishery-return configuration. Matrix, rho_living, b and detritus SPPR are unavailable; no zero or numerical substitute inferred.</ns0:t>
            </ns0:r>
            <ns0:r>
              <ns0:t xml:space="preserve"> </ns0:t>
            </ns0:r>
            <ns0:hyperlink ns2:id="rId21">
              <ns0:r>
                <ns0:rPr>
                  <ns0:color ns0:val="0563C1"/>
                  <ns0:u ns0:val="single"/>
                </ns0:rPr>
                <ns0:t>Raw diagnostic returns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A. Approximately 25–35% of target region covered by the study. B. Approximately 95–100% of study covered by target. Manual source-contour trace gives central estimates 30.3% and 99.5%; these are approximate visual ranges, not statistical intervals.</ns0:t>
            </ns0:r>
            <ns0:r>
              <ns0:t xml:space="preserve"> </ns0:t>
            </ns0:r>
            <ns0:hyperlink ns2:id="rId22">
              <ns0:r>
                <ns0:rPr>
                  <ns0:color ns0:val="0563C1"/>
                  <ns0:u ns0:val="single"/>
                </ns0:rPr>
                <ns0:t>Boundary assessment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1985 source coefficients and guild compositions applied to 1950–2019 whole-LME catches; reference is 34 years after baseline. Article publication is 2020. Fixed values do not reconstruct annual ecosystems or changes in fishing composition.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With Egestion: all 275 entries finite/nonnegative; rho_living=0.32649935; b=0.76189950; Discards53=257.01852139; Detritus54=3.57644818. FAIL, PP gap 5.17%. Provisional GE/Egestion are 26.83/13.30 million t C. Blue whiting supplies about 15% each; Lophiidae 7.10%/6.02% and Hake 5.70%/4.84% depend on source-catch allocation assumptions.</ns0:t>
            </ns0:r>
            <ns0:r>
              <ns0:t xml:space="preserve"> </ns0:t>
            </ns0:r>
            <ns0:hyperlink ns2:id="rId23">
              <ns0:r>
                <ns0:rPr>
                  <ns0:color ns0:val="0563C1"/>
                  <ns0:u ns0:val="single"/>
                </ns0:rPr>
                <ns0:t>Method exposure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exact catch labels, zero catch and unidentified categories included; all sources, no group filter.</ns0:t>
      </ns0:r>
    </ns0:p>
    <ns0:p>
      <ns0:pPr>
        <ns0:keepNext ns0:val="0"/>
        <ns0:pageBreakBefore ns0:val="0"/>
        <ns0:spacing ns0:after="120"/>
      </ns0:pPr>
      <ns0:r>
        <ns0:t>54 source groups (+1 synthetic import); 488 exact catch labels.</ns0:t>
      </ns0:r>
    </ns0:p>
    <ns0:p>
      <ns0:pPr>
        <ns0:keepNext ns0:val="0"/>
        <ns0:pageBreakBefore ns0:val="0"/>
        <ns0:spacing ns0:after="120"/>
      </ns0:pPr>
      <ns0:r>
        <ns0:t>Independent simple-chain PPR totals 105,377,067.66 t C; landings total 1,067,444.89 t.</ns0:t>
      </ns0:r>
    </ns0:p>
    <ns0:p>
      <ns0:pPr>
        <ns0:keepNext ns0:val="0"/>
        <ns0:pageBreakBefore ns0:val="0"/>
        <ns0:spacing ns0:after="120"/>
      </ns0:pPr>
      <ns0:r>
        <ns0:t>105 labels have unavailable classic TL/coefficient; all have true zero 2019 landings and zero annual PPR. TL remains ?, not zero. No positive-catch classic PPR is unknown.</ns0:t>
      </ns0:r>
    </ns0:p>
    <ns0:p>
      <ns0:pPr>
        <ns0:keepNext ns0:val="0"/>
        <ns0:pageBreakBefore ns0:val="0"/>
        <ns0:spacing ns0:after="120"/>
      </ns0:pPr>
      <ns0:r>
        <ns0:t>Simple trophic chain: saved classic wet coefficient × catch ÷ 9 once. Percentages use the full unrounded independent denominator.</ns0:t>
      </ns0:r>
    </ns0:p>
    <ns0:p>
      <ns0:pPr>
        <ns0:keepNext ns0:val="0"/>
        <ns0:pageBreakBefore ns0:val="0"/>
        <ns0:spacing ns0:after="120"/>
      </ns0:pPr>
      <ns0:hyperlink ns2:id="rId24">
        <ns0:r>
          <ns0:rPr>
            <ns0:color ns0:val="0563C1"/>
            <ns0:u ns0:val="single"/>
          </ns0:rPr>
          <ns0:t>Complete taxon mapping appendix</ns0:t>
        </ns0:r>
      </ns0:hyperlink>
      <ns0:r>
        <ns0:t xml:space="preserve"> | </ns0:t>
      </ns0:r>
      <ns0:hyperlink ns2:id="rId25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189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80.8313%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70.4960%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185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16.2260%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28.8022%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114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2.9427%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0.7018%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Explicit named source member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82.6349%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Broader label spans locally represented members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12.5318%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Operational generic source definition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1.8032%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source genus or family extension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1.0311%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Operational generic source definition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0.9707%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reporting-category approximation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0.6399%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accepted-name identity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0.3262%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meaningful analogue with mismatches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0.0619%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ecological connection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0.0003%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Each membership rule uses actual source definitions and reporting scope. </ns0:t>
      </ns0:r>
      <ns0:hyperlink ns2:id="rId26">
        <ns0:r>
          <ns0:rPr>
            <ns0:color ns0:val="0563C1"/>
            <ns0:u ns0:val="single"/>
          </ns0:rPr>
          <ns0:t>All candidate decisions and alternatives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reviewed group, no numerical split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73.7268%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accepted source catch proportions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26.2732%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113 multigroup labels use complete accepted 1985 landings + discards, including genuine zero candidates; Medium allocation confidence. No compatible whole-LME caught-mass composition or source stage threshold was found. The four accepted stage splits are preserved. These fixed guild proportions transfer across years, fleets, space and catch bases. </ns0:t>
      </ns0:r>
      <ns0:hyperlink ns2:id="rId27">
        <ns0:r>
          <ns0:rPr>
            <ns0:color ns0:val="0563C1"/>
            <ns0:u ns0:val="single"/>
          </ns0:rPr>
          <ns0:t>Exact weights and populations</ns0:t>
        </ns0:r>
      </ns0:hyperlink>
    </ns0:p>
    <ns0:p>
      <ns0:pPr>
        <ns0:keepNext ns0:val="0"/>
        <ns0:pageBreakBefore ns0:val="0"/>
        <ns0:spacing ns0:after="120"/>
      </ns0:pPr>
      <ns0:r>
        <ns0:t xml:space="preserve">Unresolved: none. Very low: 114 labels, 2.9427% of landings / 0.7018% of classic PPR. Broad residual fish/invertebrates, chimaeras, unlisted deep/freshwater fish and grazer gastropods carry explicit taxonomy, feeding and habitat mismatches. Their method shares are 5.17% GE / 4.77% With Egestion. Membership coverage does not establish ecological validity. </ns0:t>
      </ns0:r>
      <ns0:hyperlink ns2:id="rId28">
        <ns0:r>
          <ns0:rPr>
            <ns0:color ns0:val="0563C1"/>
            <ns0:u ns0:val="single"/>
          </ns0:rPr>
          <ns0:t>Exact weak taxa and reasons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 and study S are separate geographic objects. The red dashed source contour supports an approximate manual WGS84 trace clipped to shared coastline land; no authoritative digital study polygon was supplied.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Celtic-Biscay Shelf LME_024 target region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5212080" cy="419862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9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212080" cy="419862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Target R: Sea Around Us LME24 boundary; geodesic area approximately 762,833 km². </ns0:t>
      </ns0:r>
      <ns0:r>
        <ns0:t xml:space="preserve"> </ns0:t>
      </ns0:r>
      <ns0:hyperlink ns2:id="rId31">
        <ns0:r>
          <ns0:rPr>
            <ns0:color ns0:val="0563C1"/>
            <ns0:u ns0:val="single"/>
          </ns0:rPr>
          <ns0:t>Target polygon</ns0:t>
        </ns0:r>
      </ns0:hyperlink>
      <ns0:r>
        <ns0:t xml:space="preserve"> | </ns0:t>
      </ns0:r>
      <ns0:hyperlink ns2:id="rId32">
        <ns0:r>
          <ns0:rPr>
            <ns0:color ns0:val="0563C1"/>
            <ns0:u ns0:val="single"/>
          </ns0:rPr>
          <ns0:t>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Celtic Sea shelf source contour — Figure 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5212080" cy="2922662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ource_figure1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212080" cy="2922662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Hernvann et al. (2020), Figure1 p3: red dashed model domain is shelf shallower than 200 m, matching ICES7.e/f/g/h/j.2. The Bay of Biscay lies outside the source Celtic Sea shelf contour. </ns0:t>
      </ns0:r>
      <ns0:r>
        <ns0:t xml:space="preserve"> </ns0:t>
      </ns0:r>
      <ns0:hyperlink ns2:id="rId33">
        <ns0:r>
          <ns0:rPr>
            <ns0:color ns0:val="0563C1"/>
            <ns0:u ns0:val="single"/>
          </ns0:rPr>
          <ns0:t>Source PDF</ns0:t>
        </ns0:r>
      </ns0:hyperlink>
      <ns0:r>
        <ns0:t xml:space="preserve"> | </ns0:t>
      </ns0:r>
      <ns0:hyperlink ns2:id="rId34">
        <ns0:r>
          <ns0:rPr>
            <ns0:color ns0:val="0563C1"/>
            <ns0:u ns0:val="single"/>
          </ns0:rPr>
          <ns0:t>Original full page</ns0:t>
        </ns0:r>
      </ns0:hyperlink>
      <ns0:r>
        <ns0:t xml:space="preserve"> | </ns0:t>
      </ns0:r>
      <ns0:hyperlink ns2:id="rId35">
        <ns0:r>
          <ns0:rPr>
            <ns0:color ns0:val="0563C1"/>
            <ns0:u ns0:val="single"/>
          </ns0:rPr>
          <ns0:t>Figure image</ns0:t>
        </ns0:r>
      </ns0:hyperlink>
    </ns0:p>
    <ns0:p>
      <ns0:pPr>
        <ns0:spacing ns0:after="40" ns0:before="0" ns0:line="240" ns0:lineRule="auto"/>
      </ns0:pPr>
      <ns0:r>
        <ns0:t xml:space="preserve">Manual trace S≈232,138 km²; intersection≈231,021 km²: A≈30.3%, B≈99.5%. Use broad A25–35% and B95–100% ranges because contour/coastline digitization is approximate. Propose an explicitly approximate source-study display trace; preserve target and historical source material. </ns0:t>
      </ns0:r>
      <ns0:r>
        <ns0:t xml:space="preserve"> </ns0:t>
      </ns0:r>
      <ns0:hyperlink ns2:id="rId36">
        <ns0:r>
          <ns0:rPr>
            <ns0:color ns0:val="0563C1"/>
            <ns0:u ns0:val="single"/>
          </ns0:rPr>
          <ns0:t>Comparison</ns0:t>
        </ns0:r>
      </ns0:hyperlink>
      <ns0:r>
        <ns0:t xml:space="preserve"> | </ns0:t>
      </ns0:r>
      <ns0:hyperlink ns2:id="rId37">
        <ns0:r>
          <ns0:rPr>
            <ns0:color ns0:val="0563C1"/>
            <ns0:u ns0:val="single"/>
          </ns0:rPr>
          <ns0:t>Approximate trace</ns0:t>
        </ns0:r>
      </ns0:hyperlink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24.xlsx" TargetMode="External" /><ns0:Relationship Id="rId10" Type="http://schemas.openxmlformats.org/officeDocument/2006/relationships/hyperlink" Target="../../../../../../../LME_024/raw" TargetMode="External" /><ns0:Relationship Id="rId11" Type="http://schemas.openxmlformats.org/officeDocument/2006/relationships/hyperlink" Target="https://doi.org/10.3389/fmars.2020.578717" TargetMode="External" /><ns0:Relationship Id="rId12" Type="http://schemas.openxmlformats.org/officeDocument/2006/relationships/hyperlink" Target="../../../sources/pdf-fbcccb63.pdf" TargetMode="External" /><ns0:Relationship Id="rId13" Type="http://schemas.openxmlformats.org/officeDocument/2006/relationships/hyperlink" Target="../../../sources/Data_Sheet_1_TheCelticSeaThroughTimeandSpa-165f24b6.docx" TargetMode="External" /><ns0:Relationship Id="rId14" Type="http://schemas.openxmlformats.org/officeDocument/2006/relationships/hyperlink" Target="https://doi.org/10.13140/RG.2.2.26937.36965" TargetMode="External" /><ns0:Relationship Id="rId15" Type="http://schemas.openxmlformats.org/officeDocument/2006/relationships/hyperlink" Target="https://doi.org/10.1016/j.jmarsys.2017.03.008" TargetMode="External" /><ns0:Relationship Id="rId16" Type="http://schemas.openxmlformats.org/officeDocument/2006/relationships/hyperlink" Target="../model.json" TargetMode="External" /><ns0:Relationship Id="rId17" Type="http://schemas.openxmlformats.org/officeDocument/2006/relationships/hyperlink" Target="../../../../../../../LME_024/models/extraction_review_20260928/authorized_routing_experiment" TargetMode="External" /><ns0:Relationship Id="rId18" Type="http://schemas.openxmlformats.org/officeDocument/2006/relationships/hyperlink" Target="evidence/source_review/source_review.md#source-layers-and-scientific-limitations" TargetMode="External" /><ns0:Relationship Id="rId19" Type="http://schemas.openxmlformats.org/officeDocument/2006/relationships/hyperlink" Target="../model_notes.md#removed-extraction-evidence" TargetMode="External" /><ns0:Relationship Id="rId20" Type="http://schemas.openxmlformats.org/officeDocument/2006/relationships/hyperlink" Target="evidence/source_review/matrix_inspection.json" TargetMode="External" /><ns0:Relationship Id="rId21" Type="http://schemas.openxmlformats.org/officeDocument/2006/relationships/hyperlink" Target="../extracted_tables/evidence/integration_20260928/direct_reports.json" TargetMode="External" /><ns0:Relationship Id="rId22" Type="http://schemas.openxmlformats.org/officeDocument/2006/relationships/hyperlink" Target="evidence/source_review/geography/geographic_assessment.json" TargetMode="External" /><ns0:Relationship Id="rId23" Type="http://schemas.openxmlformats.org/officeDocument/2006/relationships/hyperlink" Target="evidence/source_review/method_exposure.json" TargetMode="External" /><ns0:Relationship Id="rId24" Type="http://schemas.openxmlformats.org/officeDocument/2006/relationships/hyperlink" Target="taxon_mapping.xlsx" TargetMode="External" /><ns0:Relationship Id="rId25" Type="http://schemas.openxmlformats.org/officeDocument/2006/relationships/hyperlink" Target="taxon_mapping.xlsx#Sources%21A1" TargetMode="External" /><ns0:Relationship Id="rId26" Type="http://schemas.openxmlformats.org/officeDocument/2006/relationships/hyperlink" Target="evidence/source_review/taxon_audit.json" TargetMode="External" /><ns0:Relationship Id="rId27" Type="http://schemas.openxmlformats.org/officeDocument/2006/relationships/hyperlink" Target="evidence/source_review/allocation_evidence.json" TargetMode="External" /><ns0:Relationship Id="rId28" Type="http://schemas.openxmlformats.org/officeDocument/2006/relationships/hyperlink" Target="taxon_mapping.xlsx#%27Taxon%20mapping%27%21A1" TargetMode="External" /><ns0:Relationship Id="rId29" Type="http://schemas.openxmlformats.org/officeDocument/2006/relationships/image" Target="media/image1.png" /><ns0:Relationship Id="rId30" Type="http://schemas.openxmlformats.org/officeDocument/2006/relationships/image" Target="media/image2.png" /><ns0:Relationship Id="rId31" Type="http://schemas.openxmlformats.org/officeDocument/2006/relationships/hyperlink" Target="evidence/source_review/geography/target_region.geojson" TargetMode="External" /><ns0:Relationship Id="rId32" Type="http://schemas.openxmlformats.org/officeDocument/2006/relationships/hyperlink" Target="evidence/source_review/geography/target_region.png" TargetMode="External" /><ns0:Relationship Id="rId33" Type="http://schemas.openxmlformats.org/officeDocument/2006/relationships/hyperlink" Target="../../../sources/pdf-fbcccb63.pdf#page=3" TargetMode="External" /><ns0:Relationship Id="rId34" Type="http://schemas.openxmlformats.org/officeDocument/2006/relationships/hyperlink" Target="evidence/source_review/geography/source_page_3.png" TargetMode="External" /><ns0:Relationship Id="rId35" Type="http://schemas.openxmlformats.org/officeDocument/2006/relationships/hyperlink" Target="evidence/source_review/geography/source_figure1.png" TargetMode="External" /><ns0:Relationship Id="rId36" Type="http://schemas.openxmlformats.org/officeDocument/2006/relationships/hyperlink" Target="evidence/source_review/geography/comparison.png" TargetMode="External" /><ns0:Relationship Id="rId37" Type="http://schemas.openxmlformats.org/officeDocument/2006/relationships/hyperlink" Target="evidence/source_review/geography/study_area_trace.geo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