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14="http://schemas.microsoft.com/office/word/2010/wordml" xmlns:wp14="http://schemas.microsoft.com/office/word/2010/wordprocessingDrawing" ns1:Ignorable="w14 wp14">
  <ns0:body>
    <ns0:p>
      <ns0:pPr>
        <ns0:pStyle ns0:val="Title"/>
      </ns0:pPr>
      <ns0:r>
        <ns0:t>Mediterranean Sea model validation</ns0:t>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Entry</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Region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Mediterranean Sea, LME_026</ns0:t>
            </ns0:r>
          </ns0:p>
          <ns0:p>
            <ns0:hyperlink ns2:id="rId9">
              <ns0:r>
                <ns0:rPr>
                  <ns0:color ns0:val="0563C1"/>
                  <ns0:u ns0:val="single"/>
                </ns0:rPr>
                <ns0:t>Regional workbook</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Catch source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Sea Around Us reconstructed catches, 1950–2019. Reference: 2019 landings, excluding discards. Frozen regional extract.</ns0:t>
            </ns0:r>
          </ns0:p>
          <ns0:p>
            <ns0:hyperlink ns2:id="rId10">
              <ns0:r>
                <ns0:rPr>
                  <ns0:color ns0:val="0563C1"/>
                  <ns0:u ns0:val="single"/>
                </ns0:rPr>
                <ns0:t>Sea Around Us region</ns0:t>
              </ns0:r>
            </ns0:hyperlink>
            <ns0:r>
              <ns0:t xml:space="preserve"> | </ns0:t>
            </ns0:r>
            <ns0:hyperlink ns2:id="rId11">
              <ns0:r>
                <ns0:rPr>
                  <ns0:color ns0:val="0563C1"/>
                  <ns0:u ns0:val="single"/>
                </ns0:rPr>
                <ns0:t>Catch files</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Piroddi, Coll, Macias, Steenbeek, Garcia-Gorriz, Mannini, Vilas and Christensen (2022). Modelling the Mediterranean Sea ecosystem at high spatial resolution to inform the ecosystem-based management in the region. Scientific Reports 12, 19680.</ns0:t>
            </ns0:r>
          </ns0:p>
          <ns0:p>
            <ns0:hyperlink ns2:id="rId12">
              <ns0:r>
                <ns0:rPr>
                  <ns0:color ns0:val="0563C1"/>
                  <ns0:u ns0:val="single"/>
                </ns0:rPr>
                <ns0:t>DOI</ns0:t>
              </ns0:r>
            </ns0:hyperlink>
            <ns0:r>
              <ns0:t xml:space="preserve"> | </ns0:t>
            </ns0:r>
            <ns0:hyperlink ns2:id="rId13">
              <ns0:r>
                <ns0:rPr>
                  <ns0:color ns0:val="0563C1"/>
                  <ns0:u ns0:val="single"/>
                </ns0:rPr>
                <ns0:t>Paper PDF</ns0:t>
              </ns0:r>
            </ns0:hyperlink>
            <ns0:r>
              <ns0:t xml:space="preserve"> | </ns0:t>
            </ns0:r>
            <ns0:hyperlink ns2:id="rId14">
              <ns0:r>
                <ns0:rPr>
                  <ns0:color ns0:val="0563C1"/>
                  <ns0:u ns0:val="single"/>
                </ns0:rPr>
                <ns0:t>Paper folder</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 known articles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Piroddi et al. (2017). Historical changes of the Mediterranean Sea ecosystem: modelling the role and impact of primary productivity and fisheries changes over time. Scientific Reports 7, 44491. 1950s baseline with 1950–2011 simulations and four sub-basin networks.</ns0:t>
            </ns0:r>
          </ns0:p>
          <ns0:p>
            <ns0:hyperlink ns2:id="rId15">
              <ns0:r>
                <ns0:rPr>
                  <ns0:color ns0:val="0563C1"/>
                  <ns0:u ns0:val="single"/>
                </ns0:rPr>
                <ns0:t>2017 article</ns0:t>
              </ns0:r>
            </ns0:hyperlink>
            <ns0:r>
              <ns0:t xml:space="preserve"> | </ns0:t>
            </ns0:r>
            <ns0:hyperlink ns2:id="rId16">
              <ns0:r>
                <ns0:rPr>
                  <ns0:color ns0:val="0563C1"/>
                  <ns0:u ns0:val="single"/>
                </ns0:rPr>
                <ns0:t>Local PDF</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Selected model</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Piroddi_2022_Mediterranean_1995. Basin-wide 1995 baseline (supplement: 1990s); 71 source groups: 65 consumers, 4 producers and 2 nonliving pools; 37 fleet entries.</ns0:t>
            </ns0:r>
          </ns0:p>
          <ns0:p>
            <ns0:hyperlink ns2:id="rId17">
              <ns0:r>
                <ns0:rPr>
                  <ns0:color ns0:val="0563C1"/>
                  <ns0:u ns0:val="single"/>
                </ns0:rPr>
                <ns0:t>Model folder</ns0:t>
              </ns0:r>
            </ns0:hyperlink>
            <ns0:r>
              <ns0:t xml:space="preserve"> | </ns0:t>
            </ns0:r>
            <ns0:hyperlink ns2:id="rId18">
              <ns0:r>
                <ns0:rPr>
                  <ns0:color ns0:val="0563C1"/>
                  <ns0:u ns0:val="single"/>
                </ns0:rPr>
                <ns0:t>Selected JSON</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Other models from the same article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One distinct Ecopath baseline is supplied. The 1995–2016 Ecosim/Ecospace simulations and spatial outputs are dynamic applications of that baseline, with no separately tabulated alternative Ecopath parameterization.</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Selection rationale</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Article — The recorded recommendation prefers the recent whole-basin source with supplied parameter-bearing XLSX and DOCX supplements.</ns0:t>
              <ns0:br/>
              <ns0:t>Model — Explicit user selection of the extracted 1995 model despite blocked construction; missing routing and the conditional fin-whale conflict remain.</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Model extraction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Source B/PB/QB/EE, diets and fleet values are preserved. Diet sums including imports span 0.99956013582–1.00000013576; no normalization. GS, BA, migration and routing remain unknown. Diagnostic staging assumes zero unlisted landings but preserves reported discards; construction stops before requested GS/BA defaults. Fin-whale discards exceed production under the stated zero-BA/net-migration arithmetic; the residual is unexplained and unapplied.</ns0:t>
            </ns0:r>
          </ns0:p>
          <ns0:p>
            <ns0:hyperlink ns2:id="rId19">
              <ns0:r>
                <ns0:rPr>
                  <ns0:color ns0:val="0563C1"/>
                  <ns0:u ns0:val="single"/>
                </ns0:rPr>
                <ns0:t>Source audit</ns0:t>
              </ns0:r>
            </ns0:hyperlink>
            <ns0:r>
              <ns0:t xml:space="preserve"> | </ns0:t>
            </ns0:r>
            <ns0:hyperlink ns2:id="rId20">
              <ns0:r>
                <ns0:rPr>
                  <ns0:color ns0:val="0563C1"/>
                  <ns0:u ns0:val="single"/>
                </ns0:rPr>
                <ns0:t>Lossless roundtrip</ns0:t>
              </ns0:r>
            </ns0:hyperlink>
          </ns0:p>
          <ns0:p>
            <ns0:r>
              <ns0:t>Retained departures and evidence limits: </ns0:t>
            </ns0:r>
            <ns0:hyperlink ns2:id="rIdModelNotes">
              <ns0:r>
                <ns0:rPr>
                  <ns0:color ns0:val="0563C1"/>
                  <ns0:u ns0:val="single"/>
                </ns0:rPr>
                <ns0:t>model notes</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SPPR calculation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rPr>
              <ns0:t xml:space="preserve">[MANUAL — Researcher: calculation choices and reasons]</ns0:t>
            </ns0:r>
          </ns0:p>
          <ns0:p>
            <ns0:pPr>
              <ns0:spacing ns0:after="40" ns0:before="0" ns0:line="240" ns0:lineRule="auto"/>
            </ns0:pPr>
            <ns0:r>
              <ns0:rPr>
                <ns0:rFonts ns0:ascii="Calibri" ns0:hAnsi="Calibri"/>
                <ns0:sz ns0:val="21"/>
                <ns0:color ns0:val="000000"/>
              </ns0:rPr>
              <ns0:t xml:space="preserve">[Excluded groups, scope and relevant values; other adjustments]</ns0:t>
            </ns0:r>
          </ns0:p>
        </ns0:tc>
      </ns0:tr>
    </ns0:tbl>
    <ns0:p>
      <ns0:pPr>
        <ns0:spacing ns0:after="40" ns0:before="0" ns0:line="240" ns0:lineRule="auto"/>
        <ns0:pageBreakBefore/>
      </ns0:pPr>
      <ns0:r>
        <ns0:rPr>
          <ns0:rFonts ns0:ascii="Calibri" ns0:hAnsi="Calibri"/>
          <ns0:sz ns0:val="2"/>
          <ns0:color ns0:val="000000"/>
        </ns0:rPr>
        <ns0:t xml:space="preserve"/>
      </ns0:r>
    </ns0:p>
    <ns0:tbl>
      <ns0:tblPr>
        <ns0:tblW ns0:type="auto" ns0:w="0"/>
        <ns0:jc ns0:val="center"/>
        <ns0:tblLayout ns0:type="fixed"/>
        <ns0:tblLook ns0:firstColumn="1" ns0:firstRow="1" ns0:lastColumn="0" ns0:lastRow="0" ns0:noHBand="0" ns0:noVBand="1" ns0:val="04A0"/>
      </ns0:tblPr>
      <ns0:tblGrid>
        <ns0:gridCol ns0:w="2203"/>
        <ns0:gridCol ns0:w="7834"/>
      </ns0:tblGrid>
      <ns0:tr>
        <ns0:trPr>
          <ns0:cantSplit/>
          <ns0:tblHeader/>
        </ns0:trPr>
        <ns0:tc>
          <ns0:tcPr>
            <ns0:tcW ns0:type="dxa" ns0:w="2203"/>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Field</ns0:t>
            </ns0:r>
          </ns0:p>
        </ns0:tc>
        <ns0:tc>
          <ns0:tcPr>
            <ns0:tcW ns0:type="dxa" ns0:w="7834"/>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rPr>
                <ns0:rFonts ns0:ascii="Calibri" ns0:hAnsi="Calibri"/>
                <ns0:sz ns0:val="21"/>
                <ns0:color ns0:val="000000"/>
                <ns0:b/>
              </ns0:rPr>
              <ns0:t xml:space="preserve">Entry</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NOT_RUN: missing routing between Discards (70) and Detritus (71) blocks construction. Negative SPPR entries cannot be assessed. rho_living and b are unavailable; SPPR for Discards (70) and Detritus (71) is unavailable.</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 diagnostics</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NOT_RUN: the same constructor restriction prevents calculation. Negative SPPR entries and rho_living cannot be assessed; SPPR for Discards (70) and Detritus (71) is unavailable.</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Geographic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A. Region covered by study: approximately 95–100%.</ns0:t>
              <ns0:br/>
              <ns0:t>B. Study area covered by region: approximately 95–100%.</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Temporal fit</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The 1995 baseline precedes reference catch year 2019 by 24 years. Fixed source composition and stage proxies are transferred across 1950–2019 catches and bases. These do not reconstruct annual ecosystem structure; model PPR remains unavailable.</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Other</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t>With Egestion also remains NOT_RUN. Unknown routing cannot be replaced by a source balance check or a taxonomic mapping.</ns0:t>
            </ns0:r>
          </ns0:p>
          <ns0:p>
            <ns0:hyperlink ns2:id="rId21">
              <ns0:r>
                <ns0:rPr>
                  <ns0:color ns0:val="0563C1"/>
                  <ns0:u ns0:val="single"/>
                </ns0:rPr>
                <ns0:t>Constructor and method evidence</ns0:t>
              </ns0:r>
            </ns0:hyperlink>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Open issues and next action</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open issues and next actions]</ns0:t>
              <ns0:br/>
              <ns0:t/>
              <ns0:br/>
              <ns0:t/>
            </ns0:r>
          </ns0:p>
        </ns0:tc>
      </ns0:tr>
      <ns0:tr>
        <ns0:trPr>
          <ns0:cantSplit/>
        </ns0:trPr>
        <ns0:tc>
          <ns0:tcPr>
            <ns0:tcW ns0:type="dxa" ns0:w="2203"/>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Review and reproducibility</ns0:t>
            </ns0:r>
          </ns0:p>
        </ns0:tc>
        <ns0:tc>
          <ns0:tcPr>
            <ns0:tcW ns0:type="dxa" ns0:w="7834"/>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sz ns0:val="21"/>
              </ns0:rPr>
              <ns0:t>Researcher name: [name] | review date: [date]</ns0:t>
              <ns0:br/>
              <ns0:t/>
              <ns0:br/>
              <ns0:t/>
              <ns0:br/>
              <ns0:t/>
            </ns0:r>
          </ns0:p>
        </ns0:tc>
      </ns0:tr>
    </ns0:tbl>
    <ns0:p>
      <ns0:pPr>
        <ns0:keepNext/>
        <ns0:pageBreakBefore/>
        <ns0:spacing ns0:after="120"/>
      </ns0:pPr>
      <ns0:r>
        <ns0:rPr>
          <ns0:rFonts ns0:ascii="Calibri" ns0:hAnsi="Calibri"/>
          <ns0:b/>
          <ns0:color ns0:val="000000"/>
          <ns0:sz ns0:val="30"/>
        </ns0:rPr>
        <ns0:t>Taxon mapping and coverage</ns0:t>
      </ns0:r>
    </ns0:p>
    <ns0:p>
      <ns0:pPr>
        <ns0:keepNext ns0:val="0"/>
        <ns0:pageBreakBefore ns0:val="0"/>
        <ns0:spacing ns0:after="120"/>
      </ns0:pPr>
      <ns0:r>
        <ns0:t>Reference: 2019 landings. Independent all-taxon simple-chain estimate; all source support, all recorded labels and no group filter.</ns0:t>
      </ns0:r>
    </ns0:p>
    <ns0:p>
      <ns0:pPr>
        <ns0:keepNext ns0:val="0"/>
        <ns0:pageBreakBefore ns0:val="0"/>
        <ns0:spacing ns0:after="120"/>
      </ns0:pPr>
      <ns0:r>
        <ns0:t>71 source groups; 522 catch taxa. No synthetic computational import group.</ns0:t>
      </ns0:r>
    </ns0:p>
    <ns0:p>
      <ns0:pPr>
        <ns0:keepNext ns0:val="0"/>
        <ns0:pageBreakBefore ns0:val="0"/>
        <ns0:spacing ns0:after="120"/>
      </ns0:pPr>
      <ns0:r>
        <ns0:t>Simple-chain PPR totals 105,846,498.898 t C in 2019.</ns0:t>
      </ns0:r>
    </ns0:p>
    <ns0:p>
      <ns0:pPr>
        <ns0:keepNext ns0:val="0"/>
        <ns0:pageBreakBefore ns0:val="0"/>
        <ns0:spacing ns0:after="120"/>
      </ns0:pPr>
      <ns0:r>
        <ns0:t>40 taxa lack a classic TL/coefficient; all have zero 2019 landings and contribute zero annual PPR. No positive-catch contribution is unknown.</ns0:t>
      </ns0:r>
    </ns0:p>
    <ns0:p>
      <ns0:pPr>
        <ns0:keepNext ns0:val="0"/>
        <ns0:pageBreakBefore ns0:val="0"/>
        <ns0:spacing ns0:after="120"/>
      </ns0:pPr>
      <ns0:r>
        <ns0:t>Simple-chain PPR uses the fixed taxon coefficients of the simple trophic chain method.</ns0:t>
      </ns0:r>
    </ns0:p>
    <ns0:p>
      <ns0:pPr>
        <ns0:keepNext ns0:val="0"/>
        <ns0:pageBreakBefore ns0:val="0"/>
        <ns0:spacing ns0:after="120"/>
      </ns0:pPr>
      <ns0:hyperlink ns2:id="rId22">
        <ns0:r>
          <ns0:rPr>
            <ns0:color ns0:val="0563C1"/>
            <ns0:u ns0:val="single"/>
          </ns0:rPr>
          <ns0:t>All-taxon Excel appendix</ns0:t>
        </ns0:r>
      </ns0:hyperlink>
      <ns0:r>
        <ns0:t xml:space="preserve"> | </ns0:t>
      </ns0:r>
      <ns0:hyperlink ns2:id="rId23">
        <ns0:r>
          <ns0:rPr>
            <ns0:color ns0:val="0563C1"/>
            <ns0:u ns0:val="single"/>
          </ns0:rPr>
          <ns0:t>Descriptive Sources sheet</ns0:t>
        </ns0:r>
      </ns0:hyperlink>
    </ns0:p>
    <ns0:tbl>
      <ns0:tblPr>
        <ns0:tblW ns0:type="auto" ns0:w="0"/>
        <ns0:tblLayout ns0:type="fixed"/>
        <ns0:tblLook ns0:firstColumn="1" ns0:firstRow="1" ns0:lastColumn="0" ns0:lastRow="0" ns0:noHBand="0" ns0:noVBand="1" ns0:val="04A0"/>
      </ns0:tblPr>
      <ns0:tblGrid>
        <ns0:gridCol ns0:w="3888"/>
        <ns0:gridCol ns0:w="1440"/>
        <ns0:gridCol ns0:w="2304"/>
        <ns0:gridCol ns0:w="2376"/>
      </ns0:tblGrid>
      <ns0:tr>
        <ns0:trPr>
          <ns0:tblHeader/>
          <ns0:cantSplit/>
        </ns0:trPr>
        <ns0:tc>
          <ns0:tcPr>
            <ns0:tcW ns0:type="dxa" ns0:w="3888"/>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Overall confidence</ns0:t>
            </ns0:r>
          </ns0:p>
        </ns0:tc>
        <ns0:tc>
          <ns0:tcPr>
            <ns0:tcW ns0:type="dxa" ns0:w="1440"/>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Taxa (n)</ns0:t>
            </ns0:r>
          </ns0:p>
        </ns0:tc>
        <ns0:tc>
          <ns0:tcPr>
            <ns0:tcW ns0:type="dxa" ns0:w="230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Catch (%)</ns0:t>
            </ns0:r>
          </ns0:p>
        </ns0:tc>
        <ns0:tc>
          <ns0:tcPr>
            <ns0:tcW ns0:type="dxa" ns0:w="2376"/>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Simple-chain PPR (%)</ns0:t>
            </ns0:r>
          </ns0:p>
        </ns0:tc>
      </ns0:tr>
      <ns0:tr>
        <ns0:trPr>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High</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290</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41.3944%</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64.9733%</ns0:t>
            </ns0:r>
          </ns0:p>
        </ns0:tc>
      </ns0:tr>
      <ns0:tr>
        <ns0:trPr>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Medium</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186</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48.2426%</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31.1116%</ns0:t>
            </ns0:r>
          </ns0:p>
        </ns0:tc>
      </ns0:tr>
      <ns0:tr>
        <ns0:trPr>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Low</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26</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0.1836%</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0.1535%</ns0:t>
            </ns0:r>
          </ns0:p>
        </ns0:tc>
      </ns0:tr>
      <ns0:tr>
        <ns0:trPr>
          <ns0:cantSplit/>
        </ns0:trPr>
        <ns0:tc>
          <ns0:tcPr>
            <ns0:tcW ns0:type="dxa" ns0:w="3888"/>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Very low</ns0:t>
            </ns0:r>
          </ns0:p>
        </ns0:tc>
        <ns0:tc>
          <ns0:tcPr>
            <ns0:tcW ns0:type="dxa" ns0:w="1440"/>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20</ns0:t>
            </ns0:r>
          </ns0:p>
        </ns0:tc>
        <ns0:tc>
          <ns0:tcPr>
            <ns0:tcW ns0:type="dxa" ns0:w="2304"/>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10.1794%</ns0:t>
            </ns0:r>
          </ns0:p>
        </ns0:tc>
        <ns0:tc>
          <ns0:tcPr>
            <ns0:tcW ns0:type="dxa" ns0:w="2376"/>
            <ns0:shd ns0:fill="F5F7F8"/>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3.7615%</ns0:t>
            </ns0:r>
          </ns0:p>
        </ns0:tc>
      </ns0:tr>
      <ns0:tr>
        <ns0:trPr>
          <ns0:cantSplit/>
        </ns0:trPr>
        <ns0:tc>
          <ns0:tcPr>
            <ns0:tcW ns0:type="dxa" ns0:w="3888"/>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Unresolved</ns0:t>
            </ns0:r>
          </ns0:p>
        </ns0:tc>
        <ns0:tc>
          <ns0:tcPr>
            <ns0:tcW ns0:type="dxa" ns0:w="1440"/>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ns0:t>
            </ns0:r>
          </ns0:p>
        </ns0:tc>
        <ns0:tc>
          <ns0:tcPr>
            <ns0:tcW ns0:type="dxa" ns0:w="230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0.0000%</ns0:t>
            </ns0:r>
          </ns0:p>
        </ns0:tc>
        <ns0:tc>
          <ns0:tcPr>
            <ns0:tcW ns0:type="dxa" ns0:w="2376"/>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0.0000%</ns0:t>
            </ns0:r>
          </ns0:p>
        </ns0:tc>
      </ns0:tr>
    </ns0:tbl>
    <ns0:p>
      <ns0:pPr>
        <ns0:keepNext ns0:val="0"/>
        <ns0:pageBreakBefore ns0:val="0"/>
        <ns0:spacing ns0:after="120"/>
      </ns0:pPr>
      <ns0:r>
        <ns0:rPr>
          <ns0:rFonts ns0:ascii="Calibri" ns0:hAnsi="Calibri"/>
          <ns0:b ns0:val="0"/>
          <ns0:color ns0:val="000000"/>
          <ns0:sz ns0:val="21"/>
        </ns0:rPr>
        <ns0:t>The summary uses the weaker required membership or allocation confidence. The following tables show each component separately.</ns0:t>
      </ns0:r>
    </ns0:p>
    <ns0:p>
      <ns0:pPr>
        <ns0:keepNext/>
        <ns0:pageBreakBefore ns0:val="0"/>
        <ns0:spacing ns0:after="120"/>
      </ns0:pPr>
      <ns0:r>
        <ns0:rPr>
          <ns0:rFonts ns0:ascii="Calibri" ns0:hAnsi="Calibri"/>
          <ns0:b/>
          <ns0:color ns0:val="000000"/>
          <ns0:sz ns0:val="23"/>
        </ns0:rPr>
        <ns0:t>Group assignment rules</ns0:t>
      </ns0:r>
    </ns0:p>
    <ns0:p>
      <ns0:r>
        <ns0:t xml:space="preserve">Membership evidence: </ns0:t>
      </ns0:r>
      <ns0:hyperlink ns2:id="rId27">
        <ns0:r>
          <ns0:rPr>
            <ns0:color ns0:val="0563C1"/>
            <ns0:u ns0:val="single"/>
          </ns0:rPr>
          <ns0:t>Source group definitions and authoritative taxonomic audit</ns0:t>
        </ns0:r>
      </ns0:hyperlink>
      <ns0:r>
        <ns0:t xml:space="preserve"> Scaridae denotes the historical parrotfish family, now Scarinae within Labridae; the genus-misspelling homonym is excluded. </ns0:t>
      </ns0:r>
      <ns0:hyperlink ns2:id="rIdScaridaeRankBridge">
        <ns0:r>
          <ns0:rPr>
            <ns0:color ns0:val="0563C1"/>
            <ns0:u ns0:val="single"/>
          </ns0:rPr>
          <ns0:t>Scaridae rank bridge</ns0:t>
        </ns0:r>
      </ns0:hyperlink>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Explicitly listed source member of the selected group or stage pair</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73.4641%</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Assumed eligible group set supported by source members and taxonomy</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14.9221%</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Supported ecological extension of the source-defined group</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6.7841%</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Broad reporting category approximated by named and residual source pools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3.7615%</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Taxonomic extension from source-listed representatives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0.3737%</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Unambiguous fit to a documented taxonomic group with no competing pool</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0.2710%</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Verified synonym of an explicitly listed source member</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0.2699%</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Partial or conflicting ecological fit among plausible source pools</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0.1535%</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Closest represented taxonomic or ecological analogue for an absent compartment</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Very low</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&lt;0.0001%</ns0:t>
            </ns0:r>
          </ns0:p>
        </ns0:tc>
      </ns0:tr>
    </ns0:tbl>
    <ns0:p>
      <ns0:pPr>
        <ns0:keepNext/>
        <ns0:pageBreakBefore/>
        <ns0:spacing ns0:after="120"/>
      </ns0:pPr>
      <ns0:r>
        <ns0:rPr>
          <ns0:rFonts ns0:ascii="Calibri" ns0:hAnsi="Calibri"/>
          <ns0:b/>
          <ns0:color ns0:val="000000"/>
          <ns0:sz ns0:val="23"/>
        </ns0:rPr>
        <ns0:t>Allocation weight rules</ns0:t>
      </ns0:r>
    </ns0:p>
    <ns0:p>
      <ns0:r>
        <ns0:t xml:space="preserve">Weights and assumptions: </ns0:t>
      </ns0:r>
      <ns0:hyperlink ns2:id="rId28">
        <ns0:r>
          <ns0:rPr>
            <ns0:color ns0:val="0563C1"/>
            <ns0:u ns0:val="single"/>
          </ns0:rPr>
          <ns0:t>All candidates and source quantities</ns0:t>
        </ns0:r>
      </ns0:hyperlink>
      <ns0:r>
        <ns0:t xml:space="preserve"> | </ns0:t>
      </ns0:r>
      <ns0:hyperlink ns2:id="rId29">
        <ns0:r>
          <ns0:rPr>
            <ns0:color ns0:val="0563C1"/>
            <ns0:u ns0:val="single"/>
          </ns0:rPr>
          <ns0:t>Primary-source composition search</ns0:t>
        </ns0:r>
      </ns0:hyperlink>
    </ns0:p>
    <ns0:tbl>
      <ns0:tblPr>
        <ns0:tblW ns0:type="auto" ns0:w="0"/>
        <ns0:tblLayout ns0:type="fixed"/>
        <ns0:tblLook ns0:firstColumn="1" ns0:firstRow="1" ns0:lastColumn="0" ns0:lastRow="0" ns0:noHBand="0" ns0:noVBand="1" ns0:val="04A0"/>
      </ns0:tblPr>
      <ns0:tblGrid>
        <ns0:gridCol ns0:w="6624"/>
        <ns0:gridCol ns0:w="1512"/>
        <ns0:gridCol ns0:w="1872"/>
      </ns0:tblGrid>
      <ns0:tr>
        <ns0:trPr>
          <ns0:tblHeader/>
          <ns0:cantSplit/>
        </ns0:trPr>
        <ns0:tc>
          <ns0:tcPr>
            <ns0:tcW ns0:type="dxa" ns0:w="6624"/>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rPr>
                <ns0:rFonts ns0:ascii="Calibri" ns0:hAnsi="Calibri"/>
                <ns0:b/>
                <ns0:color ns0:val="000000"/>
                <ns0:sz ns0:val="20"/>
              </ns0:rPr>
              <ns0:t>Plain-language rule</ns0:t>
            </ns0:r>
          </ns0:p>
        </ns0:tc>
        <ns0:tc>
          <ns0:tcPr>
            <ns0:tcW ns0:type="dxa" ns0:w="151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Confidence</ns0:t>
            </ns0:r>
          </ns0:p>
        </ns0:tc>
        <ns0:tc>
          <ns0:tcPr>
            <ns0:tcW ns0:type="dxa" ns0:w="1872"/>
            <ns0:shd ns0:fill="DDE9EE"/>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rPr>
                <ns0:rFonts ns0:ascii="Calibri" ns0:hAnsi="Calibri"/>
                <ns0:b/>
                <ns0:color ns0:val="000000"/>
                <ns0:sz ns0:val="20"/>
              </ns0:rPr>
              <ns0:t>PPR percentage</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One group receives the complete taxon catch; no split uncertainty</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High</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79.2924%</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Selected-model caught-mass proportions used as a fixed composition proxy</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16.3223%</ns0:t>
            </ns0:r>
          </ns0:p>
        </ns0:tc>
      </ns0:tr>
      <ns0:tr>
        <ns0:trPr>
          <ns0:cantSplit/>
        </ns0:trPr>
        <ns0:tc>
          <ns0:tcPr>
            <ns0:tcW ns0:type="dxa" ns0:w="6624"/>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pPr>
            <ns0:r>
              <ns0:t>Complete accepted model-biomass proportions when source landings are unusable</ns0:t>
            </ns0:r>
          </ns0:p>
        </ns0:tc>
        <ns0:tc>
          <ns0:tcPr>
            <ns0:tcW ns0:type="dxa" ns0:w="151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Medium</ns0:t>
            </ns0:r>
          </ns0:p>
        </ns0:tc>
        <ns0:tc>
          <ns0:tcPr>
            <ns0:tcW ns0:type="dxa" ns0:w="1872"/>
            <ns0:shd ns0:fill="FFFFFF"/>
            <ns0:tcBorders>
              <ns0:top ns0:val="single" ns0:sz="4" ns0:color="D9D9D9"/>
              <ns0:left ns0:val="single" ns0:sz="4" ns0:color="D9D9D9"/>
              <ns0:bottom ns0:val="single" ns0:sz="4" ns0:color="D9D9D9"/>
              <ns0:right ns0:val="single" ns0:sz="4" ns0:color="D9D9D9"/>
            </ns0:tcBorders>
            <ns0:tcMar>
              <ns0:top ns0:w="75" ns0:type="dxa"/>
              <ns0:left ns0:w="75" ns0:type="dxa"/>
              <ns0:bottom ns0:w="75" ns0:type="dxa"/>
              <ns0:right ns0:w="75" ns0:type="dxa"/>
            </ns0:tcMar>
          </ns0:tcPr>
          <ns0:p>
            <ns0:pPr>
              <ns0:spacing ns0:after="40" ns0:before="40"/>
              <ns0:jc ns0:val="center"/>
            </ns0:pPr>
            <ns0:r>
              <ns0:t>4.3853%</ns0:t>
            </ns0:r>
          </ns0:p>
        </ns0:tc>
      </ns0:tr>
    </ns0:tbl>
    <ns0:p>
      <ns0:pPr>
        <ns0:keepNext ns0:val="0"/>
        <ns0:pageBreakBefore ns0:val="0"/>
        <ns0:spacing ns0:after="120"/>
      </ns0:pPr>
      <ns0:r>
        <ns0:t>Each rule percentage is the share of independent simple-chain PPR associated with taxa using that rule.</ns0:t>
      </ns0:r>
    </ns0:p>
    <ns0:p>
      <ns0:pPr>
        <ns0:keepNext ns0:val="0"/>
        <ns0:pageBreakBefore ns0:val="0"/>
        <ns0:spacing ns0:after="120"/>
      </ns0:pPr>
      <ns0:r>
        <ns0:t>Unresolved taxa: none. Very low approximations account for 10.1794% of landings and 3.7615% of simple-chain PPR. They concern broad mixed categories and absent-compartment analogues; exact taxa, assumptions and weights are flagged in the appendix.</ns0:t>
      </ns0:r>
      <ns0:r>
        <ns0:t xml:space="preserve"> Residual fish reporting uses bony-fish candidates; dedicated shark/ray pools are excluded. Mixed NC large pelagic retains Mola mola with cartilaginous pooling uncertainty. Complete source catch or biomass supplies assumed weights; model methods remain NOT_RUN. </ns0:t>
      </ns0:r>
      <ns0:hyperlink ns2:id="rId32">
        <ns0:r>
          <ns0:rPr>
            <ns0:color ns0:val="0563C1"/>
            <ns0:u ns0:val="single"/>
          </ns0:rPr>
          <ns0:t>Reporting scope evidence</ns0:t>
        </ns0:r>
      </ns0:hyperlink>
      <ns0:r>
        <ns0:t xml:space="preserve"> The retained crustacean proxy includes documented decapods53–60, mixed nondecapod benthos61 and unspecified zooplankton65. The latter supplies76.34% of the biomass split; this is unobserved composition, not caught-mass evidence. Broad aquatic-invertebrate pools remain a weak ecological proxy; provider demersal metadata is not exhaustive taxonomy.</ns0:t>
      </ns0:r>
    </ns0:p>
    <ns0:p>
      <ns0:pPr>
        <ns0:pStyle ns0:val="Title"/>
        <ns0:pageBreakBefore/>
        <ns0:keepNext/>
        <ns0:pageBreakBefore/>
      </ns0:pPr>
      <ns0:r>
        <ns0:t>Geographic evidence screenshots</ns0:t>
      </ns0:r>
    </ns0:p>
    <ns0:p>
      <ns0:pPr>
        <ns0:spacing ns0:after="40" ns0:before="0" ns0:line="240" ns0:lineRule="auto"/>
      </ns0:pPr>
      <ns0:r>
        <ns0:t>Target region R and selected-model study area S. The basin-wide geographic estimate is approximate; coastal grid cells and strait boundaries remain uncertain.</ns0:t>
      </ns0:r>
    </ns0:p>
    <ns0:p>
      <ns0:pPr>
        <ns0:pStyle ns0:val="Heading2"/>
      </ns0:pPr>
      <ns0:r>
        <ns0:t>Region area</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Target region boundary</ns0:t>
            </ns0:r>
          </ns0:p>
        </ns0:tc>
      </ns0:tr>
      <ns0:tr>
        <ns0:trPr>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drawing>
                <ns3:inline>
                  <ns3:extent cx="6035040" cy="3057754"/>
                  <ns3:docPr id="1" name="Picture 1"/>
                  <ns3:cNvGraphicFramePr>
                    <ns4:graphicFrameLocks noChangeAspect="1"/>
                  </ns3:cNvGraphicFramePr>
                  <ns4:graphic>
                    <ns4:graphicData uri="http://schemas.openxmlformats.org/drawingml/2006/picture">
                      <ns5:pic>
                        <ns5:nvPicPr>
                          <ns5:cNvPr id="0" name="target_region.png"/>
                          <ns5:cNvPicPr/>
                        </ns5:nvPicPr>
                        <ns5:blipFill>
                          <ns4:blip ns2:embed="rId30"/>
                          <ns4:stretch>
                            <ns4:fillRect/>
                          </ns4:stretch>
                        </ns5:blipFill>
                        <ns5:spPr>
                          <ns4:xfrm>
                            <ns4:off x="0" y="0"/>
                            <ns4:ext cx="6035040" cy="3057754"/>
                          </ns4:xfrm>
                          <ns4:prstGeom prst="rect"/>
                        </ns5:spPr>
                      </ns5:pic>
                    </ns4:graphicData>
                  </ns4:graphic>
                </ns3:inline>
              </ns0:drawing>
            </ns0:r>
          </ns0:p>
        </ns0:tc>
      </ns0:tr>
    </ns0:tbl>
    <ns0:p>
      <ns0:pPr>
        <ns0:spacing ns0:after="40" ns0:before="0" ns0:line="240" ns0:lineRule="auto"/>
      </ns0:pPr>
      <ns0:r>
        <ns0:t xml:space="preserve">Mediterranean Sea LME_026. Current project marine polygon. </ns0:t>
      </ns0:r>
      <ns0:hyperlink ns2:id="rId24">
        <ns0:r>
          <ns0:rPr>
            <ns0:color ns0:val="0563C1"/>
            <ns0:u ns0:val="single"/>
          </ns0:rPr>
          <ns0:t>Boundary source</ns0:t>
        </ns0:r>
      </ns0:hyperlink>
      <ns0:r>
        <ns0:t xml:space="preserve"> | </ns0:t>
      </ns0:r>
      <ns0:hyperlink ns2:id="rId25">
        <ns0:r>
          <ns0:rPr>
            <ns0:color ns0:val="0563C1"/>
            <ns0:u ns0:val="single"/>
          </ns0:rPr>
          <ns0:t>Geographic assessment</ns0:t>
        </ns0:r>
      </ns0:hyperlink>
    </ns0:p>
    <ns0:p>
      <ns0:pPr>
        <ns0:pStyle ns0:val="Heading2"/>
        <ns0:pageBreakBefore/>
      </ns0:pPr>
      <ns0:r>
        <ns0:t>Study area in the article</ns0:t>
      </ns0:r>
    </ns0:p>
    <ns0:tbl>
      <ns0:tblPr>
        <ns0:tblW ns0:type="auto" ns0:w="0"/>
        <ns0:jc ns0:val="center"/>
        <ns0:tblLayout ns0:type="fixed"/>
        <ns0:tblLook ns0:firstColumn="1" ns0:firstRow="1" ns0:lastColumn="0" ns0:lastRow="0" ns0:noHBand="0" ns0:noVBand="1" ns0:val="04A0"/>
      </ns0:tblPr>
      <ns0:tblGrid>
        <ns0:gridCol ns0:w="10037"/>
      </ns0:tblGrid>
      <ns0:tr>
        <ns0:trPr>
          <ns0:cantSplit/>
          <ns0:tblHeader/>
        </ns0:trPr>
        <ns0:tc>
          <ns0:tcPr>
            <ns0:tcW ns0:type="dxa" ns0:w="10037"/>
            <ns0:vAlign ns0:val="center"/>
            <ns0:shd ns0:fill="E5ECF0"/>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pPr>
            <ns0:r>
              <ns0:rPr>
                <ns0:b/>
                <ns0:sz ns0:val="21"/>
              </ns0:rPr>
              <ns0:t>Study boundary for the selected model</ns0:t>
            </ns0:r>
          </ns0:p>
        </ns0:tc>
      </ns0:tr>
      <ns0:tr>
        <ns0:trPr>
          <ns0:cantSplit/>
        </ns0:trPr>
        <ns0:tc>
          <ns0:tcPr>
            <ns0:tcW ns0:type="dxa" ns0:w="10037"/>
            <ns0:vAlign ns0:val="center"/>
            <ns0:shd ns0:fill="FFFFFF"/>
            <ns0:tcMar>
              <ns0:top ns0:w="90" ns0:type="dxa"/>
              <ns0:bottom ns0:w="90" ns0:type="dxa"/>
              <ns0:left ns0:w="110" ns0:type="dxa"/>
              <ns0:right ns0:w="110" ns0:type="dxa"/>
            </ns0:tcMar>
            <ns0:tcBorders>
              <ns0:top ns0:val="single" ns0:sz="5" ns0:color="D9D9D9"/>
              <ns0:left ns0:val="single" ns0:sz="5" ns0:color="D9D9D9"/>
              <ns0:bottom ns0:val="single" ns0:sz="5" ns0:color="D9D9D9"/>
              <ns0:right ns0:val="single" ns0:sz="5" ns0:color="D9D9D9"/>
            </ns0:tcBorders>
          </ns0:tcPr>
          <ns0:p>
            <ns0:pPr>
              <ns0:spacing ns0:after="40" ns0:before="0" ns0:line="240" ns0:lineRule="auto"/>
            </ns0:pPr>
            <ns0:r>
              <ns0:drawing>
                <ns3:inline>
                  <ns3:extent cx="6035040" cy="3878030"/>
                  <ns3:docPr id="2" name="Picture 2"/>
                  <ns3:cNvGraphicFramePr>
                    <ns4:graphicFrameLocks noChangeAspect="1"/>
                  </ns3:cNvGraphicFramePr>
                  <ns4:graphic>
                    <ns4:graphicData uri="http://schemas.openxmlformats.org/drawingml/2006/picture">
                      <ns5:pic>
                        <ns5:nvPicPr>
                          <ns5:cNvPr id="0" name="study_area_figure_4h.png"/>
                          <ns5:cNvPicPr/>
                        </ns5:nvPicPr>
                        <ns5:blipFill>
                          <ns4:blip ns2:embed="rId31"/>
                          <ns4:stretch>
                            <ns4:fillRect/>
                          </ns4:stretch>
                        </ns5:blipFill>
                        <ns5:spPr>
                          <ns4:xfrm>
                            <ns4:off x="0" y="0"/>
                            <ns4:ext cx="6035040" cy="3878030"/>
                          </ns4:xfrm>
                          <ns4:prstGeom prst="rect"/>
                        </ns5:spPr>
                      </ns5:pic>
                    </ns4:graphicData>
                  </ns4:graphic>
                </ns3:inline>
              </ns0:drawing>
            </ns0:r>
          </ns0:p>
        </ns0:tc>
      </ns0:tr>
    </ns0:tbl>
    <ns0:p>
      <ns0:pPr>
        <ns0:spacing ns0:after="40" ns0:before="0" ns0:line="240" ns0:lineRule="auto"/>
      </ns0:pPr>
      <ns0:r>
        <ns0:t xml:space="preserve">Piroddi et al. (2022), Figure 4h, p. 9. Whole Mediterranean ocean domain and four sub-basins; Figure 4a provides the matching marine mask. </ns0:t>
      </ns0:r>
      <ns0:hyperlink ns2:id="rId26">
        <ns0:r>
          <ns0:rPr>
            <ns0:color ns0:val="0563C1"/>
            <ns0:u ns0:val="single"/>
          </ns0:rPr>
          <ns0:t>Source PDF</ns0:t>
        </ns0:r>
      </ns0:hyperlink>
    </ns0:p>
    <ns0:sectPr ns0:rsidR="00FC693F" ns0:rsidRPr="0006063C" ns0:rsidSect="00034616">
      <ns0:type ns0:val="nextPage"/>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Validation1" Type="http://schemas.openxmlformats.org/officeDocument/2006/relationships/hyperlink" Target="[Excel_appendix.xlsx]" TargetMode="External" /><ns0:Relationship Id="rId9" Type="http://schemas.openxmlformats.org/officeDocument/2006/relationships/hyperlink" Target="../../../../../LME_026.xlsx" TargetMode="External" /><ns0:Relationship Id="rId10" Type="http://schemas.openxmlformats.org/officeDocument/2006/relationships/hyperlink" Target="https://www.seaaroundus.org/data/#/lme/26" TargetMode="External" /><ns0:Relationship Id="rId11" Type="http://schemas.openxmlformats.org/officeDocument/2006/relationships/hyperlink" Target="../../../../../raw/catch/LME_026.csv.gz" TargetMode="External" /><ns0:Relationship Id="rId12" Type="http://schemas.openxmlformats.org/officeDocument/2006/relationships/hyperlink" Target="https://doi.org/10.1038/s41598-022-18017-x" TargetMode="External" /><ns0:Relationship Id="rId13" Type="http://schemas.openxmlformats.org/officeDocument/2006/relationships/hyperlink" Target="../../../sources/s41598-022-18017-x-75a92a71.pdf" TargetMode="External" /><ns0:Relationship Id="rId14" Type="http://schemas.openxmlformats.org/officeDocument/2006/relationships/hyperlink" Target="../../.." TargetMode="External" /><ns0:Relationship Id="rId15" Type="http://schemas.openxmlformats.org/officeDocument/2006/relationships/hyperlink" Target="https://doi.org/10.1038/srep44491" TargetMode="External" /><ns0:Relationship Id="rId16" Type="http://schemas.openxmlformats.org/officeDocument/2006/relationships/hyperlink" Target="../../../../LME026-Piroddi-2017/sources/srep44491-e23185b8.pdf" TargetMode="External" /><ns0:Relationship Id="rId17" Type="http://schemas.openxmlformats.org/officeDocument/2006/relationships/hyperlink" Target=".." TargetMode="External" /><ns0:Relationship Id="rId18" Type="http://schemas.openxmlformats.org/officeDocument/2006/relationships/hyperlink" Target="../model.json" TargetMode="External" /><ns0:Relationship Id="rId19" Type="http://schemas.openxmlformats.org/officeDocument/2006/relationships/hyperlink" Target="../extracted_tables/REPORT.md" TargetMode="External" /><ns0:Relationship Id="rId20" Type="http://schemas.openxmlformats.org/officeDocument/2006/relationships/hyperlink" Target="../extracted_tables/SOURCE_ROUNDTRIP.xlsx" TargetMode="External" /><ns0:Relationship Id="rId21" Type="http://schemas.openxmlformats.org/officeDocument/2006/relationships/hyperlink" Target="../results/diagnostics/DIRECT_SPPR_REPORT.md" TargetMode="External" /><ns0:Relationship Id="rId22" Type="http://schemas.openxmlformats.org/officeDocument/2006/relationships/hyperlink" Target="taxon_mapping.xlsx" TargetMode="External" /><ns0:Relationship Id="rId23" Type="http://schemas.openxmlformats.org/officeDocument/2006/relationships/hyperlink" Target="taxon_mapping.xlsx#Sources!A1" TargetMode="External" /><ns0:Relationship Id="rId24" Type="http://schemas.openxmlformats.org/officeDocument/2006/relationships/hyperlink" Target="../../../../../../../../common_reference_data/geography/boundaries/LMEs.geojson" TargetMode="External" /><ns0:Relationship Id="rId25" Type="http://schemas.openxmlformats.org/officeDocument/2006/relationships/hyperlink" Target="evidence/source_review/geography/geographic_assessment.json" TargetMode="External" /><ns0:Relationship Id="rId26" Type="http://schemas.openxmlformats.org/officeDocument/2006/relationships/hyperlink" Target="../../../sources/s41598-022-18017-x-75a92a71.pdf#page=9" TargetMode="External" /><ns0:Relationship Id="rId27" Type="http://schemas.openxmlformats.org/officeDocument/2006/relationships/hyperlink" Target="evidence/source_review/taxonomy_audit/taxonomy_mapping_proposals.json" TargetMode="External" /><ns0:Relationship Id="rId28" Type="http://schemas.openxmlformats.org/officeDocument/2006/relationships/hyperlink" Target="evidence/source_review/allocation_evidence.json" TargetMode="External" /><ns0:Relationship Id="rId29" Type="http://schemas.openxmlformats.org/officeDocument/2006/relationships/hyperlink" Target="evidence/source_review/allocation_search.json" TargetMode="External" /><ns0:Relationship Id="rId30" Type="http://schemas.openxmlformats.org/officeDocument/2006/relationships/image" Target="media/image1.png" /><ns0:Relationship Id="rId31" Type="http://schemas.openxmlformats.org/officeDocument/2006/relationships/image" Target="media/image2.png" /><ns0:Relationship Id="rId32" Type="http://schemas.openxmlformats.org/officeDocument/2006/relationships/hyperlink" Target="evidence/source_review/residual_fish_scope_followup.json" TargetMode="External" /><ns0:Relationship Id="rIdScaridaeRankBridge" Type="http://schemas.openxmlformats.org/officeDocument/2006/relationships/hyperlink" Target="evidence/source_review/taxonomy_rank_followup/primary_authority_verification.json" TargetMode="External" /><ns0:Relationship Id="rIdModelNotes" Type="http://schemas.openxmlformats.org/officeDocument/2006/relationships/hyperlink" Target="../model_notes.md" TargetMode="Externa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