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14="http://schemas.microsoft.com/office/word/2010/wordml" xmlns:wp14="http://schemas.microsoft.com/office/word/2010/wordprocessingDrawing" ns1:Ignorable="w14 wp14">
  <ns0:body>
    <ns0:p>
      <ns0:pPr>
        <ns0:pStyle ns0:val="Title"/>
      </ns0:pPr>
      <ns0:r>
        <ns0:t>Canary Current model candidate review</ns0:t>
      </ns0:r>
    </ns0:p>
    <ns0:p>
      <ns0:r>
        <ns0:rPr>
          <ns0:sz ns0:val="22"/>
        </ns0:rPr>
        <ns0:t>The supplied final report describes the same Northwest Africa model as EcoBase 118. It improves source verification but does not establish an independent replacement or remove the TE recycling concern.</ns0:t>
      </ns0:r>
    </ns0:p>
    <ns0:tbl>
      <ns0:tblPr>
        <ns0:tblW ns0:type="auto" ns0:w="0"/>
        <ns0:jc ns0:val="center"/>
        <ns0:tblLayout ns0:type="fixed"/>
        <ns0:tblLook ns0:firstColumn="1" ns0:firstRow="1" ns0:lastColumn="0" ns0:lastRow="0" ns0:noHBand="0" ns0:noVBand="1" ns0:val="04A0"/>
      </ns0:tblPr>
      <ns0:tblGrid>
        <ns0:gridCol ns0:w="2203"/>
        <ns0:gridCol ns0:w="7834"/>
      </ns0:tblGrid>
      <ns0:tr>
        <ns0:trPr>
          <ns0:cantSplit/>
          <ns0:tblHeader/>
        </ns0:trPr>
        <ns0:tc>
          <ns0:tcPr>
            <ns0:tcW ns0:type="dxa" ns0:w="2203"/>
            <ns0:vAlign ns0:val="center"/>
            <ns0:shd ns0:fill="E5ECF0"/>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Field</ns0:t>
            </ns0:r>
          </ns0:p>
        </ns0:tc>
        <ns0:tc>
          <ns0:tcPr>
            <ns0:tcW ns0:type="dxa" ns0:w="7834"/>
            <ns0:vAlign ns0:val="center"/>
            <ns0:shd ns0:fill="E5ECF0"/>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Entry</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Region</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Canary Current | LME_027</ns0:t>
            </ns0:r>
          </ns0:p>
          <ns0:p>
            <ns0:pPr>
              <ns0:spacing ns0:after="40"/>
            </ns0:pPr>
            <ns0:r>
              <ns0:rPr>
                <ns0:rFonts ns0:ascii="Calibri" ns0:hAnsi="Calibri"/>
                <ns0:sz ns0:val="21"/>
              </ns0:rPr>
              <ns0:t>Candidate review; regional selection remains EcoBase 118.</ns0:t>
            </ns0:r>
          </ns0:p>
          <ns0:p>
            <ns0:hyperlink ns2:id="rId9">
              <ns0:r>
                <ns0:rPr>
                  <ns0:color ns0:val="0563C1"/>
                  <ns0:u ns0:val="single"/>
                  <ns0:sz ns0:val="21"/>
                </ns0:rPr>
                <ns0:t>Regional workbook</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Catch source</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Sea Around Us; catch records 1950–2019. Reference: 2019 landings, excluding discards. Existing regional catch and classic-PPR inputs retained.</ns0:t>
            </ns0:r>
          </ns0:p>
          <ns0:p>
            <ns0:hyperlink ns2:id="rId10">
              <ns0:r>
                <ns0:rPr>
                  <ns0:color ns0:val="0563C1"/>
                  <ns0:u ns0:val="single"/>
                  <ns0:sz ns0:val="21"/>
                </ns0:rPr>
                <ns0:t>Catch evidence</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Source article</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Morissette, L., Melgo, J.L., Kaschner, K., Gerber, L. and Bamy, I.L. (2009). Food web model and data for studying the interactions between marine mammals and fisheries in the Northwest African ecosystem. Fisheries Centre Research Reports 17(2), Northwest Africa chapter, printed pp. 6–52.</ns0:t>
            </ns0:r>
          </ns0:p>
          <ns0:p>
            <ns0:hyperlink ns2:id="rId11">
              <ns0:r>
                <ns0:rPr>
                  <ns0:color ns0:val="0563C1"/>
                  <ns0:u ns0:val="single"/>
                  <ns0:sz ns0:val="21"/>
                </ns0:rPr>
                <ns0:t>Final report PDF</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Other known articles</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Guénette et al. (2014), Mauritanian Shelf and Banc d’Arguin, baseline 1991. Villanueva (2004), Sine-Saloum estuary. These are distinct, spatially narrower alternatives; neither is the model extracted here.</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Candidate model</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27_Morissette2009_Northwest_Africa_Table17</ns0:t>
            </ns0:r>
          </ns0:p>
          <ns0:p>
            <ns0:pPr>
              <ns0:spacing ns0:after="40"/>
            </ns0:pPr>
            <ns0:r>
              <ns0:rPr>
                <ns0:rFonts ns0:ascii="Calibri" ns0:hAnsi="Calibri"/>
                <ns0:sz ns0:val="21"/>
              </ns0:rPr>
              <ns0:t>Published balanced Table 17, Northwest Africa, late 1980s; native baseline 1987. 27 source groups. The official EcoBase 118 companion adds one computational Import group. Same published model lineage as the current selection; this directory is a source-review candidate, not a new independent model.</ns0:t>
            </ns0:r>
          </ns0:p>
          <ns0:p>
            <ns0:hyperlink ns2:id="rId12">
              <ns0:r>
                <ns0:rPr>
                  <ns0:color ns0:val="0563C1"/>
                  <ns0:u ns0:val="single"/>
                  <ns0:sz ns0:val="21"/>
                </ns0:rPr>
                <ns0:t>Paper extraction</ns0:t>
              </ns0:r>
            </ns0:hyperlink>
            <ns0:r>
              <ns0:t xml:space="preserve"> | </ns0:t>
            </ns0:r>
            <ns0:hyperlink ns2:id="rId13">
              <ns0:r>
                <ns0:rPr>
                  <ns0:color ns0:val="0563C1"/>
                  <ns0:u ns0:val="single"/>
                  <ns0:sz ns0:val="21"/>
                </ns0:rPr>
                <ns0:t>Official native input</ns0:t>
              </ns0:r>
            </ns0:hyperlink>
            <ns0:r>
              <ns0:t xml:space="preserve"> | </ns0:t>
            </ns0:r>
            <ns0:hyperlink ns2:id="rId14">
              <ns0:r>
                <ns0:rPr>
                  <ns0:color ns0:val="0563C1"/>
                  <ns0:u ns0:val="single"/>
                  <ns0:sz ns0:val="21"/>
                </ns0:rPr>
                <ns0:t>Identity assessment</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Other models from the same article</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Northwest Africa Table 16 is an unbalanced parameterization, not an independent ecosystem. The report also contains a 29-group Caribbean model (printed pp. 53–116), outside LME_027. Whale-removal and uncertainty simulations are scenarios.</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Selection rationale</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Article – The user supplied the previously unavailable final report to assess whether it resolves source gaps or provides another suitable model.</ns0:t>
            </ns0:r>
          </ns0:p>
          <ns0:p>
            <ns0:pPr>
              <ns0:spacing ns0:after="40"/>
            </ns0:pPr>
            <ns0:r>
              <ns0:rPr>
                <ns0:rFonts ns0:ascii="Calibri" ns0:hAnsi="Calibri"/>
                <ns0:sz ns0:val="21"/>
              </ns0:rPr>
              <ns0:t>Model – Review the final balanced Northwest Africa Table 17 and its Table 18 diet. It is the geographically relevant chapter; no replacement has been selected.</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Model extraction</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All 126 living B, P/B, Q/B, EE and GE values agree with EcoBase 118 at printed precision. Detritus EE is 0.3695 in Table 17 versus 0 in the native record. Table 3 and Tables 16–18 reorder whale identities; names and parameter signatures resolve the crosswalk.</ns0:t>
            </ns0:r>
          </ns0:p>
          <ns0:p>
            <ns0:pPr>
              <ns0:spacing ns0:after="40"/>
            </ns0:pPr>
            <ns0:r>
              <ns0:rPr>
                <ns0:rFonts ns0:ascii="Calibri" ns0:hAnsi="Calibri"/>
                <ns0:sz ns0:val="21"/>
              </ns0:rPr>
              <ns0:t>Table 18 omits the zooplankton predator column. Printed diet sums range 0.999–1.001 and remain unchanged. The paper alone lacks a complete catch, GS, BA and detritus-routing specification. Native supplementation is retained separately; runtime diet normalization and derived detritus throughput/BA are documented, with no new living-BA adjustment.</ns0:t>
            </ns0:r>
          </ns0:p>
          <ns0:p>
            <ns0:hyperlink ns2:id="rId15">
              <ns0:r>
                <ns0:rPr>
                  <ns0:color ns0:val="0563C1"/>
                  <ns0:u ns0:val="single"/>
                  <ns0:sz ns0:val="21"/>
                </ns0:rPr>
                <ns0:t>Extraction evidence</ns0:t>
              </ns0:r>
            </ns0:hyperlink>
            <ns0:r>
              <ns0:t xml:space="preserve"> | </ns0:t>
            </ns0:r>
            <ns0:hyperlink ns2:id="rId16">
              <ns0:r>
                <ns0:rPr>
                  <ns0:color ns0:val="0563C1"/>
                  <ns0:u ns0:val="single"/>
                  <ns0:sz ns0:val="21"/>
                </ns0:rPr>
                <ns0:t>Native runtime changes</ns0:t>
              </ns0:r>
            </ns0:hyperlink>
          </ns0:p>
          <ns0:p>
            <ns0:r>
              <ns0:t>Retained departures and evidence limits: </ns0:t>
            </ns0:r>
            <ns0:hyperlink ns2:id="rIdModelNotes">
              <ns0:r>
                <ns0:rPr>
                  <ns0:color ns0:val="0563C1"/>
                  <ns0:u ns0:val="single"/>
                </ns0:rPr>
                <ns0:t>model notes</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GE diagnostics</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WARN — zero-EE source groups and strict balance checks remain unresolved.</ns0:t>
            </ns0:r>
          </ns0:p>
          <ns0:p>
            <ns0:pPr>
              <ns0:spacing ns0:after="40"/>
            </ns0:pPr>
            <ns0:r>
              <ns0:rPr>
                <ns0:rFonts ns0:ascii="Calibri" ns0:hAnsi="Calibri"/>
                <ns0:sz ns0:val="21"/>
              </ns0:rPr>
              <ns0:t>No negative SPPR entries across the basal-source columns; all 112 entries are finite.</ns0:t>
            </ns0:r>
          </ns0:p>
          <ns0:p>
            <ns0:pPr>
              <ns0:spacing ns0:after="40"/>
            </ns0:pPr>
            <ns0:r>
              <ns0:rPr>
                <ns0:rFonts ns0:ascii="Calibri" ns0:hAnsi="Calibri"/>
                <ns0:sz ns0:val="21"/>
              </ns0:rPr>
              <ns0:t>rho_living = 0.1662; b = 0.3694</ns0:t>
            </ns0:r>
          </ns0:p>
          <ns0:p>
            <ns0:pPr>
              <ns0:spacing ns0:after="40"/>
            </ns0:pPr>
            <ns0:r>
              <ns0:rPr>
                <ns0:rFonts ns0:ascii="Calibri" ns0:hAnsi="Calibri"/>
                <ns0:sz ns0:val="21"/>
              </ns0:rPr>
              <ns0:t>Detritus (27): SPPR = 2.0975.</ns0:t>
            </ns0:r>
          </ns0:p>
          <ns0:p>
            <ns0:pPr>
              <ns0:spacing ns0:after="40"/>
            </ns0:pPr>
            <ns0:r>
              <ns0:rPr>
                <ns0:rFonts ns0:ascii="Calibri" ns0:hAnsi="Calibri"/>
                <ns0:sz ns0:val="21"/>
              </ns0:rPr>
              <ns0:t>Strict source and PP-balance checks are false; PP relative gap 8.34e-05. Diagnostics use the separately retained official native companion; the paper-only reconstruction is NOT_RUN.</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TE diagnostics</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WARN — strong living-compartment recycling remains close to divergence; Coastal tunas have near-zero TE.</ns0:t>
            </ns0:r>
          </ns0:p>
          <ns0:p>
            <ns0:pPr>
              <ns0:spacing ns0:after="40"/>
            </ns0:pPr>
            <ns0:r>
              <ns0:rPr>
                <ns0:rFonts ns0:ascii="Calibri" ns0:hAnsi="Calibri"/>
                <ns0:sz ns0:val="21"/>
              </ns0:rPr>
              <ns0:t>No negative SPPR entries across the basal-source columns; all 112 entries are finite.</ns0:t>
            </ns0:r>
          </ns0:p>
          <ns0:p>
            <ns0:pPr>
              <ns0:spacing ns0:after="40"/>
            </ns0:pPr>
            <ns0:r>
              <ns0:rPr>
                <ns0:rFonts ns0:ascii="Calibri" ns0:hAnsi="Calibri"/>
                <ns0:sz ns0:val="21"/>
              </ns0:rPr>
              <ns0:t>rho_living = 0.9907</ns0:t>
            </ns0:r>
          </ns0:p>
          <ns0:p>
            <ns0:pPr>
              <ns0:spacing ns0:after="40"/>
            </ns0:pPr>
            <ns0:r>
              <ns0:rPr>
                <ns0:rFonts ns0:ascii="Calibri" ns0:hAnsi="Calibri"/>
                <ns0:sz ns0:val="21"/>
              </ns0:rPr>
              <ns0:t>Detritus (27): SPPR = 1.6080.</ns0:t>
            </ns0:r>
          </ns0:p>
          <ns0:p>
            <ns0:pPr>
              <ns0:spacing ns0:after="40"/>
            </ns0:pPr>
            <ns0:r>
              <ns0:rPr>
                <ns0:rFonts ns0:ascii="Calibri" ns0:hAnsi="Calibri"/>
                <ns0:sz ns0:val="21"/>
              </ns0:rPr>
              <ns0:t>Strict source and PP-balance checks are false; PP relative gap 2.14e-05. Diagnostics use the separately retained official native companion; the paper-only reconstruction is NOT_RUN.</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SPPR calculation</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[Researcher calculation choices and notes]</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Geographic fit</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A. Region covered by study: approximately 95–100%.</ns0:t>
            </ns0:r>
          </ns0:p>
          <ns0:p>
            <ns0:pPr>
              <ns0:spacing ns0:after="40"/>
            </ns0:pPr>
            <ns0:r>
              <ns0:rPr>
                <ns0:rFonts ns0:ascii="Calibri" ns0:hAnsi="Calibri"/>
                <ns0:sz ns0:val="21"/>
              </ns0:rPr>
              <ns0:t>B. Study area covered by region: approximately 20–35%.</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Temporal fit</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The paper describes the late 1980s; native metadata and catch-table comparison support 1987. The review uses 2019 landings, 32 years later. Fixed coefficients and model-catch mixture proxies across 1950–2019 do not reconstruct annual food-web changes.</ns0:t>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Other</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The existing EcoBase 118 model was disqualified on 02/10/2026. Its recorded reason remains: “Reason – too strong living compartments recycling due to near-zero EE values (rho_living = 0.99).”</ns0:t>
            </ns0:r>
          </ns0:p>
          <ns0:p>
            <ns0:pPr>
              <ns0:spacing ns0:after="40"/>
            </ns0:pPr>
            <ns0:r>
              <ns0:rPr>
                <ns0:rFonts ns0:ascii="Calibri" ns0:hAnsi="Calibri"/>
                <ns0:sz ns0:val="21"/>
              </ns0:rPr>
              <ns0:t>Native catch data differ from two 1987 printed cells: local mesopelagic predators are about half the printed value; foreign benthos is absent in the native fleet although the paper reports 426 t. Native catch proportions are therefore explicit model proxies, not exact reproduced observations.</ns0:t>
            </ns0:r>
          </ns0:p>
          <ns0:p>
            <ns0:pPr>
              <ns0:spacing ns0:after="40"/>
            </ns0:pPr>
            <ns0:r>
              <ns0:rPr>
                <ns0:rFonts ns0:ascii="Calibri" ns0:hAnsi="Calibri"/>
                <ns0:sz ns0:val="21"/>
              </ns0:rPr>
              <ns0:t>The paper’s western bound (30° W) differs from its map/native extent (about 25° W). With Egestion also returns WARN (rho_living 0.1329). No result here establishes suitability for adoption.</ns0:t>
            </ns0:r>
          </ns0:p>
          <ns0:p>
            <ns0:hyperlink ns2:id="rId17">
              <ns0:r>
                <ns0:rPr>
                  <ns0:color ns0:val="0563C1"/>
                  <ns0:u ns0:val="single"/>
                  <ns0:sz ns0:val="21"/>
                </ns0:rPr>
                <ns0:t>Preserved signed report</ns0:t>
              </ns0:r>
            </ns0:hyperlink>
            <ns0:r>
              <ns0:t xml:space="preserve"> | </ns0:t>
            </ns0:r>
            <ns0:hyperlink ns2:id="rId18">
              <ns0:r>
                <ns0:rPr>
                  <ns0:color ns0:val="0563C1"/>
                  <ns0:u ns0:val="single"/>
                  <ns0:sz ns0:val="21"/>
                </ns0:rPr>
                <ns0:t>Full direct diagnostics</ns0:t>
              </ns0:r>
            </ns0:hyperlink>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Open issues and next action</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r>
          </ns0:p>
        </ns0:tc>
      </ns0:tr>
      <ns0:tr>
        <ns0:trPr>
          <ns0:cantSplit/>
        </ns0:trPr>
        <ns0:tc>
          <ns0:tcPr>
            <ns0:tcW ns0:type="dxa" ns0:w="2203"/>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Review and reproducibility</ns0:t>
            </ns0:r>
          </ns0:p>
        </ns0:tc>
        <ns0:tc>
          <ns0:tcPr>
            <ns0:tcW ns0:type="dxa" ns0:w="7834"/>
            <ns0:vAlign ns0:val="center"/>
            <ns0:shd ns0:fill="FFFFFF"/>
            <ns0:tcMar>
              <ns0:top ns0:w="60" ns0:type="dxa"/>
              <ns0:bottom ns0:w="6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Researcher name: ____________________ | review date: dd/mm/yyyy</ns0:t>
            </ns0:r>
          </ns0:p>
        </ns0:tc>
      </ns0:tr>
    </ns0:tbl>
    <ns0:p>
      <ns0:r>
        <ns0:br ns0:type="page"/>
      </ns0:r>
    </ns0:p>
    <ns0:p>
      <ns0:pPr>
        <ns0:pStyle ns0:val="Heading1"/>
      </ns0:pPr>
      <ns0:r>
        <ns0:t>Taxon mapping and coverage</ns0:t>
      </ns0:r>
    </ns0:p>
    <ns0:p>
      <ns0:r>
        <ns0:t>Reference: 2019 landings, excluding discards; all recorded catch taxa, including zero-landings labels. Candidate mappings remain unadopted.</ns0:t>
      </ns0:r>
    </ns0:p>
    <ns0:p>
      <ns0:r>
        <ns0:t>27 source groups (+1 computational Import in the native companion); 512 catch taxa.</ns0:t>
      </ns0:r>
    </ns0:p>
    <ns0:p>
      <ns0:r>
        <ns0:t>Simple-chain PPR totals 244,709,206 t C in 2019.</ns0:t>
      </ns0:r>
    </ns0:p>
    <ns0:p>
      <ns0:r>
        <ns0:t>100 taxa have no saved classic coefficient; all have zero 2019 landings and contribute zero annual PPR. No positive-catch contribution is unknown.</ns0:t>
      </ns0:r>
    </ns0:p>
    <ns0:p>
      <ns0:r>
        <ns0:t>Method: independent simple trophic chain using the saved taxon coefficients.</ns0:t>
      </ns0:r>
    </ns0:p>
    <ns0:p>
      <ns0:r/>
      <ns0:hyperlink ns2:id="rId19">
        <ns0:r>
          <ns0:rPr>
            <ns0:color ns0:val="0563C1"/>
            <ns0:u ns0:val="single"/>
            <ns0:sz ns0:val="21"/>
          </ns0:rPr>
          <ns0:t>Excel taxon appendix and descriptive Sources sheet</ns0:t>
        </ns0:r>
      </ns0:hyperlink>
    </ns0:p>
    <ns0:tbl>
      <ns0:tblPr>
        <ns0:tblW ns0:type="auto" ns0:w="0"/>
        <ns0:jc ns0:val="center"/>
        <ns0:tblLayout ns0:type="fixed"/>
        <ns0:tblLook ns0:firstColumn="1" ns0:firstRow="1" ns0:lastColumn="0" ns0:lastRow="0" ns0:noHBand="0" ns0:noVBand="1" ns0:val="04A0"/>
      </ns0:tblPr>
      <ns0:tblGrid>
        <ns0:gridCol ns0:w="3888"/>
        <ns0:gridCol ns0:w="1440"/>
        <ns0:gridCol ns0:w="2304"/>
        <ns0:gridCol ns0:w="2376"/>
      </ns0:tblGrid>
      <ns0:tr>
        <ns0:trPr>
          <ns0:cantSplit/>
          <ns0:tblHeader/>
        </ns0:trPr>
        <ns0:tc>
          <ns0:tcPr>
            <ns0:tcW ns0:type="dxa" ns0:w="3888"/>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Overall confidence</ns0:t>
            </ns0:r>
          </ns0:p>
        </ns0:tc>
        <ns0:tc>
          <ns0:tcPr>
            <ns0:tcW ns0:type="dxa" ns0:w="1440"/>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Taxa (n)</ns0:t>
            </ns0:r>
          </ns0:p>
        </ns0:tc>
        <ns0:tc>
          <ns0:tcPr>
            <ns0:tcW ns0:type="dxa" ns0:w="230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Catch (%)</ns0:t>
            </ns0:r>
          </ns0:p>
        </ns0:tc>
        <ns0:tc>
          <ns0:tcPr>
            <ns0:tcW ns0:type="dxa" ns0:w="2376"/>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Simple-chain PPR (%)</ns0:t>
            </ns0:r>
          </ns0:p>
        </ns0:tc>
      </ns0:tr>
      <ns0:tr>
        <ns0:trPr>
          <ns0:cantSplit/>
        </ns0:trPr>
        <ns0:tc>
          <ns0:tcPr>
            <ns0:tcW ns0:type="dxa" ns0:w="388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High</ns0:t>
            </ns0:r>
          </ns0:p>
        </ns0:tc>
        <ns0:tc>
          <ns0:tcPr>
            <ns0:tcW ns0:type="dxa" ns0:w="144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284</ns0:t>
            </ns0:r>
          </ns0:p>
        </ns0:tc>
        <ns0:tc>
          <ns0:tcPr>
            <ns0:tcW ns0:type="dxa" ns0:w="230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70%</ns0:t>
            </ns0:r>
          </ns0:p>
        </ns0:tc>
        <ns0:tc>
          <ns0:tcPr>
            <ns0:tcW ns0:type="dxa" ns0:w="2376"/>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75%</ns0:t>
            </ns0:r>
          </ns0:p>
        </ns0:tc>
      </ns0:tr>
      <ns0:tr>
        <ns0:trPr>
          <ns0:cantSplit/>
        </ns0:trPr>
        <ns0:tc>
          <ns0:tcPr>
            <ns0:tcW ns0:type="dxa" ns0:w="388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Medium</ns0:t>
            </ns0:r>
          </ns0:p>
        </ns0:tc>
        <ns0:tc>
          <ns0:tcPr>
            <ns0:tcW ns0:type="dxa" ns0:w="144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199</ns0:t>
            </ns0:r>
          </ns0:p>
        </ns0:tc>
        <ns0:tc>
          <ns0:tcPr>
            <ns0:tcW ns0:type="dxa" ns0:w="230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7.6%</ns0:t>
            </ns0:r>
          </ns0:p>
        </ns0:tc>
        <ns0:tc>
          <ns0:tcPr>
            <ns0:tcW ns0:type="dxa" ns0:w="2376"/>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14%</ns0:t>
            </ns0:r>
          </ns0:p>
        </ns0:tc>
      </ns0:tr>
      <ns0:tr>
        <ns0:trPr>
          <ns0:cantSplit/>
        </ns0:trPr>
        <ns0:tc>
          <ns0:tcPr>
            <ns0:tcW ns0:type="dxa" ns0:w="388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Low</ns0:t>
            </ns0:r>
          </ns0:p>
        </ns0:tc>
        <ns0:tc>
          <ns0:tcPr>
            <ns0:tcW ns0:type="dxa" ns0:w="144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1</ns0:t>
            </ns0:r>
          </ns0:p>
        </ns0:tc>
        <ns0:tc>
          <ns0:tcPr>
            <ns0:tcW ns0:type="dxa" ns0:w="230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0.00020%</ns0:t>
            </ns0:r>
          </ns0:p>
        </ns0:tc>
        <ns0:tc>
          <ns0:tcPr>
            <ns0:tcW ns0:type="dxa" ns0:w="2376"/>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0.00022%</ns0:t>
            </ns0:r>
          </ns0:p>
        </ns0:tc>
      </ns0:tr>
      <ns0:tr>
        <ns0:trPr>
          <ns0:cantSplit/>
        </ns0:trPr>
        <ns0:tc>
          <ns0:tcPr>
            <ns0:tcW ns0:type="dxa" ns0:w="388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Very low</ns0:t>
            </ns0:r>
          </ns0:p>
        </ns0:tc>
        <ns0:tc>
          <ns0:tcPr>
            <ns0:tcW ns0:type="dxa" ns0:w="144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28</ns0:t>
            </ns0:r>
          </ns0:p>
        </ns0:tc>
        <ns0:tc>
          <ns0:tcPr>
            <ns0:tcW ns0:type="dxa" ns0:w="230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23%</ns0:t>
            </ns0:r>
          </ns0:p>
        </ns0:tc>
        <ns0:tc>
          <ns0:tcPr>
            <ns0:tcW ns0:type="dxa" ns0:w="2376"/>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11%</ns0:t>
            </ns0:r>
          </ns0:p>
        </ns0:tc>
      </ns0:tr>
      <ns0:tr>
        <ns0:trPr>
          <ns0:cantSplit/>
        </ns0:trPr>
        <ns0:tc>
          <ns0:tcPr>
            <ns0:tcW ns0:type="dxa" ns0:w="388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Unresolved</ns0:t>
            </ns0:r>
          </ns0:p>
        </ns0:tc>
        <ns0:tc>
          <ns0:tcPr>
            <ns0:tcW ns0:type="dxa" ns0:w="144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0</ns0:t>
            </ns0:r>
          </ns0:p>
        </ns0:tc>
        <ns0:tc>
          <ns0:tcPr>
            <ns0:tcW ns0:type="dxa" ns0:w="230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0%</ns0:t>
            </ns0:r>
          </ns0:p>
        </ns0:tc>
        <ns0:tc>
          <ns0:tcPr>
            <ns0:tcW ns0:type="dxa" ns0:w="2376"/>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0%</ns0:t>
            </ns0:r>
          </ns0:p>
        </ns0:tc>
      </ns0:tr>
    </ns0:tbl>
    <ns0:p>
      <ns0:r>
        <ns0:t>Overall confidence uses the weaker required membership or allocation component.</ns0:t>
      </ns0:r>
    </ns0:p>
    <ns0:p>
      <ns0:pPr>
        <ns0:pStyle ns0:val="Heading2"/>
      </ns0:pPr>
      <ns0:r>
        <ns0:t>Group assignment rules</ns0:t>
      </ns0:r>
    </ns0:p>
    <ns0:tbl>
      <ns0:tblPr>
        <ns0:tblW ns0:type="auto" ns0:w="0"/>
        <ns0:jc ns0:val="center"/>
        <ns0:tblLayout ns0:type="fixed"/>
        <ns0:tblLook ns0:firstColumn="1" ns0:firstRow="1" ns0:lastColumn="0" ns0:lastRow="0" ns0:noHBand="0" ns0:noVBand="1" ns0:val="04A0"/>
      </ns0:tblPr>
      <ns0:tblGrid>
        <ns0:gridCol ns0:w="6624"/>
        <ns0:gridCol ns0:w="1512"/>
        <ns0:gridCol ns0:w="1872"/>
      </ns0:tblGrid>
      <ns0:tr>
        <ns0:trPr>
          <ns0:cantSplit/>
          <ns0:tblHeader/>
        </ns0:trPr>
        <ns0:tc>
          <ns0:tcPr>
            <ns0:tcW ns0:type="dxa" ns0:w="662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Plain-language rule</ns0:t>
            </ns0:r>
          </ns0:p>
        </ns0:tc>
        <ns0:tc>
          <ns0:tcPr>
            <ns0:tcW ns0:type="dxa" ns0:w="1512"/>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Confidence</ns0:t>
            </ns0:r>
          </ns0:p>
        </ns0:tc>
        <ns0:tc>
          <ns0:tcPr>
            <ns0:tcW ns0:type="dxa" ns0:w="1872"/>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PPR percentage</ns0:t>
            </ns0:r>
          </ns0:p>
        </ns0:tc>
      </ns0:tr>
      <ns0:tr>
        <ns0:trPr>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Explicit membership in the final source group list</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High</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74%</ns0:t>
            </ns0:r>
          </ns0:p>
        </ns0:tc>
      </ns0:tr>
      <ns0:tr>
        <ns0:trPr>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Supported extension from final source representatives</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Medium</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12%</ns0:t>
            </ns0:r>
          </ns0:p>
        </ns0:tc>
      </ns0:tr>
      <ns0:tr>
        <ns0:trPr>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Broad reporting category approximated across compatible source pools</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Very low</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11%</ns0:t>
            </ns0:r>
          </ns0:p>
        </ns0:tc>
      </ns0:tr>
      <ns0:tr>
        <ns0:trPr>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Assumed eligible group set from final source members and reporting scope</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Medium</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2.0%</ns0:t>
            </ns0:r>
          </ns0:p>
        </ns0:tc>
      </ns0:tr>
      <ns0:tr>
        <ns0:trPr>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Verified taxonomic identity or synonym of a final source member</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High</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0.34%</ns0:t>
            </ns0:r>
          </ns0:p>
        </ns0:tc>
      </ns0:tr>
      <ns0:tr>
        <ns0:trPr>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Closest represented taxonomic or ecological analogue</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Very low</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0.12%</ns0:t>
            </ns0:r>
          </ns0:p>
        </ns0:tc>
      </ns0:tr>
      <ns0:tr>
        <ns0:trPr>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Conflicting final source labels with a supported but uncertain assignment</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Low</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0.00022%</ns0:t>
            </ns0:r>
          </ns0:p>
        </ns0:tc>
      </ns0:tr>
    </ns0:tbl>
    <ns0:p>
      <ns0:r>
        <ns0:t xml:space="preserve">Final Table 3, verified taxonomic identities and reporting-scope evidence. </ns0:t>
      </ns0:r>
      <ns0:hyperlink ns2:id="rId20">
        <ns0:r>
          <ns0:rPr>
            <ns0:color ns0:val="0563C1"/>
            <ns0:u ns0:val="single"/>
            <ns0:sz ns0:val="21"/>
          </ns0:rPr>
          <ns0:t>Complete taxon decisions</ns0:t>
        </ns0:r>
      </ns0:hyperlink>
    </ns0:p>
    <ns0:p>
      <ns0:pPr>
        <ns0:pStyle ns0:val="Heading2"/>
      </ns0:pPr>
      <ns0:r>
        <ns0:t>Allocation weight rules</ns0:t>
      </ns0:r>
    </ns0:p>
    <ns0:tbl>
      <ns0:tblPr>
        <ns0:tblW ns0:type="auto" ns0:w="0"/>
        <ns0:jc ns0:val="center"/>
        <ns0:tblLayout ns0:type="fixed"/>
        <ns0:tblLook ns0:firstColumn="1" ns0:firstRow="1" ns0:lastColumn="0" ns0:lastRow="0" ns0:noHBand="0" ns0:noVBand="1" ns0:val="04A0"/>
      </ns0:tblPr>
      <ns0:tblGrid>
        <ns0:gridCol ns0:w="6624"/>
        <ns0:gridCol ns0:w="1512"/>
        <ns0:gridCol ns0:w="1872"/>
      </ns0:tblGrid>
      <ns0:tr>
        <ns0:trPr>
          <ns0:cantSplit/>
          <ns0:tblHeader/>
        </ns0:trPr>
        <ns0:tc>
          <ns0:tcPr>
            <ns0:tcW ns0:type="dxa" ns0:w="662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Plain-language rule</ns0:t>
            </ns0:r>
          </ns0:p>
        </ns0:tc>
        <ns0:tc>
          <ns0:tcPr>
            <ns0:tcW ns0:type="dxa" ns0:w="1512"/>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Confidence</ns0:t>
            </ns0:r>
          </ns0:p>
        </ns0:tc>
        <ns0:tc>
          <ns0:tcPr>
            <ns0:tcW ns0:type="dxa" ns0:w="1872"/>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PPR percentage</ns0:t>
            </ns0:r>
          </ns0:p>
        </ns0:tc>
      </ns0:tr>
      <ns0:tr>
        <ns0:trPr>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One receiving group; no allocation split required</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High</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80%</ns0:t>
            </ns0:r>
          </ns0:p>
        </ns0:tc>
      </ns0:tr>
      <ns0:tr>
        <ns0:trPr>
          <ns0:cantSplit/>
        </ns0:trPr>
        <ns0:tc>
          <ns0:tcPr>
            <ns0:tcW ns0:type="dxa" ns0:w="662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Verified native source-model landings proportions transferred to reference-year catch</ns0:t>
            </ns0:r>
          </ns0:p>
        </ns0:tc>
        <ns0:tc>
          <ns0:tcPr>
            <ns0:tcW ns0:type="dxa" ns0:w="151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Medium</ns0:t>
            </ns0:r>
          </ns0:p>
        </ns0:tc>
        <ns0:tc>
          <ns0:tcPr>
            <ns0:tcW ns0:type="dxa" ns0:w="1872"/>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20%</ns0:t>
            </ns0:r>
          </ns0:p>
        </ns0:tc>
      </ns0:tr>
    </ns0:tbl>
    <ns0:p>
      <ns0:r>
        <ns0:t xml:space="preserve">Native model-catch proportions supply assumed mixtures where a split is needed, transferred from 1987 to 2019 landings. </ns0:t>
      </ns0:r>
      <ns0:hyperlink ns2:id="rId21">
        <ns0:r>
          <ns0:rPr>
            <ns0:color ns0:val="0563C1"/>
            <ns0:u ns0:val="single"/>
            <ns0:sz ns0:val="21"/>
          </ns0:rPr>
          <ns0:t>Allocation quantities and alternatives</ns0:t>
        </ns0:r>
      </ns0:hyperlink>
    </ns0:p>
    <ns0:p>
      <ns0:r>
        <ns0:t>Each percentage is the independent simple-chain PPR associated with taxa using that rule.</ns0:t>
      </ns0:r>
    </ns0:p>
    <ns0:p>
      <ns0:r>
        <ns0:t>Unresolved taxa: none. 28 Very low decisions account for 23% of catch and 11% of independent simple-chain PPR, but 41% of the native-companion TE calculation. Complete assignment coverage is not evidence that these ecological analogues or mixture assumptions are correct.</ns0:t>
      </ns0:r>
    </ns0:p>
    <ns0:p>
      <ns0:pPr>
        <ns0:pStyle ns0:val="Heading2"/>
      </ns0:pPr>
      <ns0:r>
        <ns0:t>Very low decisions</ns0:t>
      </ns0:r>
    </ns0:p>
    <ns0:tbl>
      <ns0:tblPr>
        <ns0:tblW ns0:type="auto" ns0:w="0"/>
        <ns0:jc ns0:val="center"/>
        <ns0:tblLayout ns0:type="fixed"/>
        <ns0:tblLook ns0:firstColumn="1" ns0:firstRow="1" ns0:lastColumn="0" ns0:lastRow="0" ns0:noHBand="0" ns0:noVBand="1" ns0:val="04A0"/>
      </ns0:tblPr>
      <ns0:tblGrid>
        <ns0:gridCol ns0:w="3298"/>
        <ns0:gridCol ns0:w="6710"/>
      </ns0:tblGrid>
      <ns0:tr>
        <ns0:trPr>
          <ns0:cantSplit/>
          <ns0:tblHeader/>
        </ns0:trPr>
        <ns0:tc>
          <ns0:tcPr>
            <ns0:tcW ns0:type="dxa" ns0:w="3298"/>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Affected taxa</ns0:t>
            </ns0:r>
          </ns0:p>
        </ns0:tc>
        <ns0:tc>
          <ns0:tcPr>
            <ns0:tcW ns0:type="dxa" ns0:w="6710"/>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Why confidence is very low</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Actinopterygii; Marine finfishes not identified; Marine fishes not identified</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Broad bony-fish reporting spans seven named and residual fish pools. Its actual composition is unknown; native model-catch proportions impose a historical mixture, including mixed-guild limitations.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Alepisaurus ferox</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Deep-pelagic source members support Mesopelagic predators as the nearest habitat analogue. Alepisauridae is absent, and the pool does not establish this large lancetfish’s size, depth or diet composition.</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Anguilla anguilla</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Coastal demersal contains marine eels and other bottom fishes. The unlisted European eel is diadromous; that marine pool does not represent its freshwater-to-sea life cycle.</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Branchiostegus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A demersal tilefish genus is placed with source bottom fishes in Coastal demersal. Malacanthidae, burrow-associated ecology and the genus’s depth composition are unrepresented; a deeper pool remains plausible.</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Echelus myrus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Source conger and moray groups provide an eel and bottom-habitat connection to Coastal demersal. Ophichthidae is absent; ecological equivalence is unverified. The deeper eel-bearing pool fits the reported habitat less well.</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Echinoidea; Holothuroidea; Paracentrotus lividus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Source Benthos supplies a bottom-invertebrate analogue through bivalves, gastropods and anthozoans. No echinoderm member is printed; extending this pooled shellfish/benthos coefficient is a weak ecological assumption.</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Epigonus telescopus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Source deep-bottom fishes support Bathydeersal predators as a depth analogue. Epigonidae is absent, so transferring its mixed composition to black cardinalfish remains uncertain.</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Heteropriacanthus cruentatus; Priacanthidae; Priacanthus; Priacanthus arenatus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Source reef/coastal fishes support Coastal demersal for these priacanthids. Priacanthidae is absent, and equivalent bigeye feeding and depth composition are unverified.</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Kyphosus sectatrix</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Sarpa salpa, Acanthuridae and other source reef/coastal fishes provide an analogue. Kyphosidae is absent; pooled membership and equivalent feeding composition remain uncertain.</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Lepas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Crustaceans provides a taxonomic connection to source decapods. This pelagic attached barnacle has a body-form and habitat mismatch; no cirripede compartment exists.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Marine groundfishes not identified</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The reporting label spans Coastal demersal, Bathydeersal and source Mesopelagic predators, which includes demersal Mora moro. Unknown composition and mixed cartilage/pelagic source members weaken the historical native-catch mixture.</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Marine pelagic fishes not identified</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Compatible offshore, mesopelagic, tuna and coastal pools are retained, including explicitly pelagic members of Coastal demersal. Unobserved composition is approximated by native model-catch proportions.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Megalops atlanticus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Large pelagics supplies a mobile large-fish analogue. Megalopidae is absent and the tarpon’s coastal/estuarine ecology differs from this offshore pool; the coastal Elops-containing pool is a meaningful alternative.</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Miscellaneous aquatic invertebrates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Unknown catch may span cephalopods, crustaceans, benthos and zooplankton. Mixed membership and composition remain uncertain. Native catch weighting retains Zooplankton at a recorded zero weight, not proven absence.</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Perciformes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Historical percomorph reporting spans several modern orders and five compatible source fish pools. The actual catch mixture is unknown and approximated by native model-catch proportions.</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Peristediidae</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The reported bathydemersal category supports a deep-bottom analogue, but the source lacks Peristediidae. Coastal demersal contains competing true-gurnard relatives; depth motivates the weaker selected placement.</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Polymixia nobilis</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Beryx and other deep-bottom source fishes support Bathydeersal predators. Polymixiidae is absent; this habitat analogue does not establish actual source membership.</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Sarotherodon melanotheron</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Coastal demersal contains estuarine/coastal fishes, providing the nearest habitat connection. The unlisted brackish-water cichlid lacks a dedicated estuarine/freshwater compartment; transfer of the marine coefficient is weak.</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Scombroidei</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Historical reporting breadth spans the source large-pelagic, coastal-tuna and other coastal-pelagic pools. Native catch proportions approximate an unknown mixture; a single printed family label does not define the entire category.</ns0:t>
            </ns0:r>
          </ns0:p>
        </ns0:tc>
      </ns0:tr>
      <ns0:tr>
        <ns0:trPr>
          <ns0:cantSplit/>
        </ns0:trPr>
        <ns0:tc>
          <ns0:tcPr>
            <ns0:tcW ns0:type="dxa" ns0:w="3298"/>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Uranoscopus; Uranoscopus scaber</ns0:t>
            </ns0:r>
          </ns0:p>
        </ns0:tc>
        <ns0:tc>
          <ns0:tcPr>
            <ns0:tcW ns0:type="dxa" ns0:w="6710"/>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t>Coastal demersal contains benthic predatory fish and flatfish. Uranoscopidae is absent, and the stargazers’ benthic ambush ecology is not isolated; deeper predators are a weaker habitat alternative.</ns0:t>
            </ns0:r>
          </ns0:p>
        </ns0:tc>
      </ns0:tr>
    </ns0:tbl>
    <ns0:p>
      <ns0:r>
        <ns0:br ns0:type="page"/>
      </ns0:r>
    </ns0:p>
    <ns0:p>
      <ns0:pPr>
        <ns0:pStyle ns0:val="Heading1"/>
      </ns0:pPr>
      <ns0:r>
        <ns0:t>Geographic evidence</ns0:t>
      </ns0:r>
    </ns0:p>
    <ns0:p>
      <ns0:r>
        <ns0:t>Target region R is the Canary Current LME; S is the much larger Northwest Africa study domain. The approximate overlap range brackets the final figure/native extent and the conflicting printed bounds.</ns0:t>
      </ns0:r>
    </ns0:p>
    <ns0:p>
      <ns0:pPr>
        <ns0:pStyle ns0:val="Heading2"/>
      </ns0:pPr>
      <ns0:r>
        <ns0:t>Region area</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Target region boundary</ns0:t>
            </ns0:r>
          </ns0:p>
        </ns0:tc>
      </ns0:tr>
      <ns0:tr>
        <ns0:trPr>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r>
            <ns0:r>
              <ns0:drawing>
                <ns3:inline>
                  <ns3:extent cx="5577840" cy="5577840"/>
                  <ns3:docPr id="1" name="Picture 1"/>
                  <ns3:cNvGraphicFramePr>
                    <ns4:graphicFrameLocks noChangeAspect="1"/>
                  </ns3:cNvGraphicFramePr>
                  <ns4:graphic>
                    <ns4:graphicData uri="http://schemas.openxmlformats.org/drawingml/2006/picture">
                      <ns5:pic>
                        <ns5:nvPicPr>
                          <ns5:cNvPr id="0" name="target_region.png"/>
                          <ns5:cNvPicPr/>
                        </ns5:nvPicPr>
                        <ns5:blipFill>
                          <ns4:blip ns2:embed="rId22"/>
                          <ns4:stretch>
                            <ns4:fillRect/>
                          </ns4:stretch>
                        </ns5:blipFill>
                        <ns5:spPr>
                          <ns4:xfrm>
                            <ns4:off x="0" y="0"/>
                            <ns4:ext cx="5577840" cy="5577840"/>
                          </ns4:xfrm>
                          <ns4:prstGeom prst="rect"/>
                        </ns5:spPr>
                      </ns5:pic>
                    </ns4:graphicData>
                  </ns4:graphic>
                </ns3:inline>
              </ns0:drawing>
            </ns0:r>
          </ns0:p>
          <ns0:p>
            <ns0:hyperlink ns2:id="rId23">
              <ns0:r>
                <ns0:rPr>
                  <ns0:color ns0:val="0563C1"/>
                  <ns0:u ns0:val="single"/>
                  <ns0:sz ns0:val="21"/>
                </ns0:rPr>
                <ns0:t>Boundary and overlap evidence</ns0:t>
              </ns0:r>
            </ns0:hyperlink>
          </ns0:p>
        </ns0:tc>
      </ns0:tr>
    </ns0:tbl>
    <ns0:p>
      <ns0:r>
        <ns0:t>Canary Current LME_027; retained regional boundary. Comparison uses compatible geodesic areas and excludes land.</ns0:t>
      </ns0:r>
    </ns0:p>
    <ns0:p>
      <ns0:pPr>
        <ns0:pStyle ns0:val="Heading2"/>
        <ns0:pageBreakBefore/>
      </ns0:pPr>
      <ns0:r>
        <ns0:t>Study area in the article</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b/>
                <ns0:sz ns0:val="21"/>
              </ns0:rPr>
              <ns0:t>Original study figure for the reviewed model</ns0:t>
            </ns0:r>
          </ns0:p>
        </ns0:tc>
      </ns0:tr>
      <ns0:tr>
        <ns0:trPr>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rFonts ns0:ascii="Calibri" ns0:hAnsi="Calibri"/>
                <ns0:sz ns0:val="21"/>
              </ns0:rPr>
            </ns0:r>
            <ns0:r>
              <ns0:drawing>
                <ns3:inline>
                  <ns3:extent cx="5577840" cy="3254723"/>
                  <ns3:docPr id="2" name="Picture 2"/>
                  <ns3:cNvGraphicFramePr>
                    <ns4:graphicFrameLocks noChangeAspect="1"/>
                  </ns3:cNvGraphicFramePr>
                  <ns4:graphic>
                    <ns4:graphicData uri="http://schemas.openxmlformats.org/drawingml/2006/picture">
                      <ns5:pic>
                        <ns5:nvPicPr>
                          <ns5:cNvPr id="0" name="final_figure1_with_caption.png"/>
                          <ns5:cNvPicPr/>
                        </ns5:nvPicPr>
                        <ns5:blipFill>
                          <ns4:blip ns2:embed="rId24"/>
                          <ns4:stretch>
                            <ns4:fillRect/>
                          </ns4:stretch>
                        </ns5:blipFill>
                        <ns5:spPr>
                          <ns4:xfrm>
                            <ns4:off x="0" y="0"/>
                            <ns4:ext cx="5577840" cy="3254723"/>
                          </ns4:xfrm>
                          <ns4:prstGeom prst="rect"/>
                        </ns5:spPr>
                      </ns5:pic>
                    </ns4:graphicData>
                  </ns4:graphic>
                </ns3:inline>
              </ns0:drawing>
            </ns0:r>
          </ns0:p>
          <ns0:p>
            <ns0:hyperlink ns2:id="rId23">
              <ns0:r>
                <ns0:rPr>
                  <ns0:color ns0:val="0563C1"/>
                  <ns0:u ns0:val="single"/>
                  <ns0:sz ns0:val="21"/>
                </ns0:rPr>
                <ns0:t>Boundary and overlap evidence</ns0:t>
              </ns0:r>
            </ns0:hyperlink>
          </ns0:p>
        </ns0:tc>
      </ns0:tr>
    </ns0:tbl>
    <ns0:p>
      <ns0:r>
        <ns0:t>Morissette et al. (2009), Figure 1, printed p. 8 / PDF p. 12. Original article figure; the offshore western edge differs from the longitude given in the prose.</ns0:t>
      </ns0:r>
    </ns0:p>
    <ns0:p>
      <ns0:r/>
    </ns0:p>
    <ns0:sectPr ns0:rsidR="00FC693F" ns0:rsidRPr="0006063C" ns0:rsidSect="00034616">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yperlink" Target="../../../../../LME_027.xlsx" TargetMode="External" /><ns0:Relationship Id="rId10" Type="http://schemas.openxmlformats.org/officeDocument/2006/relationships/hyperlink" Target="../../../../../raw/catch/LME_027.csv.gz" TargetMode="External" /><ns0:Relationship Id="rId11" Type="http://schemas.openxmlformats.org/officeDocument/2006/relationships/hyperlink" Target="../../27_118_Northwest_Africa_(1987)/model_validation/evidence/source_review/papers/FCRR_2009_17-2.pdf.pdf#page=10" TargetMode="External" /><ns0:Relationship Id="rId12" Type="http://schemas.openxmlformats.org/officeDocument/2006/relationships/hyperlink" Target="../model.json" TargetMode="External" /><ns0:Relationship Id="rId13" Type="http://schemas.openxmlformats.org/officeDocument/2006/relationships/hyperlink" Target="../model_notes.md#removed-extraction-evidence" TargetMode="External" /><ns0:Relationship Id="rId14" Type="http://schemas.openxmlformats.org/officeDocument/2006/relationships/hyperlink" Target="../extracted_tables/evidence/evidence/identity/identity_review.json" TargetMode="External" /><ns0:Relationship Id="rId15" Type="http://schemas.openxmlformats.org/officeDocument/2006/relationships/hyperlink" Target="../extracted_tables/REPORT.md" TargetMode="External" /><ns0:Relationship Id="rId16" Type="http://schemas.openxmlformats.org/officeDocument/2006/relationships/hyperlink" Target="../results/diagnostics/transformation_ledger.json" TargetMode="External" /><ns0:Relationship Id="rId17" Type="http://schemas.openxmlformats.org/officeDocument/2006/relationships/hyperlink" Target="../../27_118_Northwest_Africa_(1987)/model_validation/validation.docx" TargetMode="External" /><ns0:Relationship Id="rId18" Type="http://schemas.openxmlformats.org/officeDocument/2006/relationships/hyperlink" Target="../results/diagnostics/DIRECT_DIAGNOSTICS.md" TargetMode="External" /><ns0:Relationship Id="rId19" Type="http://schemas.openxmlformats.org/officeDocument/2006/relationships/hyperlink" Target="taxon_mapping.xlsx" TargetMode="External" /><ns0:Relationship Id="rId20" Type="http://schemas.openxmlformats.org/officeDocument/2006/relationships/hyperlink" Target="../extracted_tables/evidence/mapping/taxon_audit.json" TargetMode="External" /><ns0:Relationship Id="rId21" Type="http://schemas.openxmlformats.org/officeDocument/2006/relationships/hyperlink" Target="../extracted_tables/evidence/mapping/allocation_evidence.json" TargetMode="External" /><ns0:Relationship Id="rId22" Type="http://schemas.openxmlformats.org/officeDocument/2006/relationships/image" Target="media/image1.png" /><ns0:Relationship Id="rId23" Type="http://schemas.openxmlformats.org/officeDocument/2006/relationships/hyperlink" Target="../extracted_tables/evidence/evidence/geography/geographic_assessment.json" TargetMode="External" /><ns0:Relationship Id="rId24" Type="http://schemas.openxmlformats.org/officeDocument/2006/relationships/image" Target="media/image2.png" /><ns0:Relationship Id="rIdModelNotes" Type="http://schemas.openxmlformats.org/officeDocument/2006/relationships/hyperlink" Target="../model_notes.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Concise evidence summary for researcher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