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rPr>
          <ns0:b ns0:val="0"/>
          <ns0:color ns0:val="000000"/>
        </ns0:rPr>
        <ns0:t>Canary Current Base model validation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</ns0:trPr>
        <ns0:tc>
          <ns0:tcPr>
            <ns0:tcW ns0:type="dxa" ns0:w="2203"/>
            <ns0:vAlign ns0:val="center"/>
            <ns0:shd ns0:fill="E5ECF0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Entry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Canary Current (LME 027)</ns0:t>
            </ns0:r>
          </ns0:p>
          <ns0:p>
            <ns0:pPr>
              <ns0:spacing ns0:after="60"/>
            </ns0:pPr>
            <ns0:hyperlink ns2:id="rId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Regional workbook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Sea Around Us retained regional dataset, 1950–2019; landings reference year 2019. Provider revision unspecified.</ns0:t>
            </ns0:r>
          </ns0:p>
          <ns0:p>
            <ns0:pPr>
              <ns0:spacing ns0:after="60"/>
            </ns0:pPr>
            <ns0:hyperlink ns2:id="rId10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Catch archive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1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Catch and coefficient context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Candidate article: Guénette S, Meissa B, Gascuel D (2014). Assessing the Contribution of Marine Protected Areas to the Trophic Functioning of Ecosystems: A Model for the Banc d’Arguin and the Mauritanian Shelf. PLoS ONE 9(4), e94742.</ns0:t>
            </ns0:r>
          </ns0:p>
          <ns0:p>
            <ns0:pPr>
              <ns0:spacing ns0:after="60"/>
            </ns0:pPr>
            <ns0:hyperlink ns2:id="rId12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DOI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Article PDF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4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Supplement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Morissette, Melgo, Kaschner, Gerber &amp; Bamy (2009): Northwest African food-web model; the currently selected EcoBase 118 version represents 1987.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Villanueva, Tito-de-Morais, Weigel &amp; Moreau (2004): An Ecopath model of the Sine-Saloum Delta biosphere reserve (Senegal).</ns0:t>
            </ns0:r>
          </ns0:p>
          <ns0:p>
            <ns0:pPr>
              <ns0:spacing ns0:after="60"/>
            </ns0:pPr>
            <ns0:hyperlink ns2:id="rId15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Central article records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6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Retained source folders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Candidate: Guenette2014_BancArguin_Base_1991. 51 source groups, 47 consumers and 3 reported fleets; Mauritanian shelf to 200 m, approximately 33,224 km². Baseline 1991; Ecosim calibration 1991–2006.</ns0:t>
            </ns0:r>
          </ns0:p>
          <ns0:p>
            <ns0:pPr>
              <ns0:spacing ns0:after="60"/>
            </ns0:pPr>
            <ns0:hyperlink ns2:id="rId17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Canonical model JSON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8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extraction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M30 lowers assumed subtidal benthos density by 30%; P30 raises it by 30%. Both change Banc feeding proportions and selected balanced biomasses.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All three share the 1991 shelf domain. EcoBase 689 is a separately deposited numerical version, with material differences from the printed tables.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Article – ? Candidate review requested; no recorded decision selects this article.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Model – ? No decision selects this variant. Overview retains Northwest Africa 1987 after the earlier comparison recorded failures for the Banc d’Arguin configurations.</ns0:t>
            </ns0:r>
          </ns0:p>
          <ns0:p>
            <ns0:pPr>
              <ns0:spacing ns0:after="60"/>
            </ns0:pPr>
            <ns0:hyperlink ns2:id="rId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Current selection record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19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Exact recorded rationale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Table 1 and S8 Base conflict; for BA phytoplankton, EE is 0.260 versus 0.40. Both values and their table contexts remain documented.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S2 prints Groupers ad → BA L crustaceans as 1.34 (diet sum 2.2006); Coastal birds sum to 0.980331. Four blank cells remain unknown. The source matrix was not repaired.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Multi-stanza Z is distinct from P/B; missing P/B and growth/transition details are retained separately. No discard observations were reported; unknowns remain distinct from zero.</ns0:t>
            </ns0:r>
          </ns0:p>
          <ns0:p>
            <ns0:pPr>
              <ns0:spacing ns0:after="60"/>
            </ns0:pPr>
            <ns0:hyperlink ns2:id="rId20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conflicts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1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Diet cell evidence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2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Online recovery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Source input: NOT_RUN. Five published diet rows fail the admission check.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Separate runtime experiment: FAIL. No negative SPPR entries across the basal-source columns; all 52 × 5 entries are finite.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rho_living = 0.5567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 = 0.4356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Detritus (51): SPPR = 2.2633.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Strict model-input balance fails; numerical convergence does not validate the source.</ns0:t>
            </ns0:r>
          </ns0:p>
          <ns0:p>
            <ns0:pPr>
              <ns0:spacing ns0:after="60"/>
            </ns0:pPr>
            <ns0:hyperlink ns2:id="rId2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admission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4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Runtime experiment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Source input: NOT_RUN. Five published diet rows fail the admission check.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Separate runtime experiment: FAIL. No negative SPPR entries across the basal-source columns; all 52 × 5 entries are finite.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rho_living = 0.8002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Detritus (51): SPPR = 0.5504.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Strict model-input balance fails; numerical convergence does not validate the source.</ns0:t>
            </ns0:r>
          </ns0:p>
          <ns0:p>
            <ns0:pPr>
              <ns0:spacing ns0:after="60"/>
            </ns0:pPr>
            <ns0:hyperlink ns2:id="rId23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Source admission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4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Runtime experiment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[Researcher calculation choices and notes]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A. Region covered by study: approximately 3.0% (about 2.5–3.5%).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B. Study area covered by region: approximately 95–100%.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baseline represents 1991 and calibration spans 1991–2006; the mapping reference is 2019. Transferring fixed coefficients and source catch/biomass proportions across years and across the much larger LME is an explicit approximation.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experiment normalizes a runtime diet copy and approximates missing P/B as Q/B × P/Q; printed P/B = 0 remains unchanged. It is not the published Base parameterization. With Egestion also FAILS. EcoBase 689 also fails the flat-model checks and does not establish source validation.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Diagnostic-FAIL experiment, 2019 landings, all sources: GE PPR 105.84 million t C, TE 1,362.76 million t C and With Egestion 55.02 million t C; respectively 22%, 290% and 12% of ensemble NPP (472.96 million t C). No validated source-model estimate is available.</ns0:t>
            </ns0:r>
          </ns0:p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currently selected Northwest Africa 1987 model was disqualified by Ido Carmel on 02/10/2026: “Reason – too strong living compartments recycling due to near-zero EE values (rho_living = 0.99).” This is a separate model’s review.</ns0:t>
            </ns0:r>
          </ns0:p>
          <ns0:p>
            <ns0:pPr>
              <ns0:spacing ns0:after="60"/>
            </ns0:pPr>
            <ns0:hyperlink ns2:id="rId25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Regional assessment</ns0:t>
              </ns0:r>
            </ns0:hyperlink>
            <ns0:r>
              <ns0:rPr>
                <ns0:b ns0:val="0"/>
                <ns0:sz ns0:val="21"/>
              </ns0:rPr>
              <ns0:t xml:space="preserve"> | </ns0:t>
            </ns0:r>
            <ns0:hyperlink ns2:id="rId26">
              <ns0:r>
                <ns0:rPr>
                  <ns0:rStyle ns0:val="Hyperlink"/>
                  <ns0:color ns0:val="0563C1"/>
                  <ns0:u ns0:val="single"/>
                  <ns0:sz ns0:val="21"/>
                </ns0:rPr>
                <ns0:t>Independent native-deposit audit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60" ns0:type="dxa"/>
              <ns0:bottom ns0:w="6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Researcher name: [name] | review date: [dd/mm/yyyy]</ns0:t>
            </ns0:r>
          </ns0:p>
        </ns0:tc>
      </ns0:tr>
    </ns0:tbl>
    <ns0:p>
      <ns0:r>
        <ns0:br ns0:type="page"/>
      </ns0:r>
    </ns0:p>
    <ns0:p>
      <ns0:pPr>
        <ns0:pStyle ns0:val="Heading1"/>
        <ns0:pageBreakBefore/>
      </ns0:pPr>
      <ns0:r>
        <ns0:t>Taxon mapping and coverage</ns0:t>
      </ns0:r>
    </ns0:p>
    <ns0:p>
      <ns0:r>
        <ns0:rPr>
          <ns0:b ns0:val="0"/>
        </ns0:rPr>
        <ns0:t>Reference: 2019 landings; all retained regional catch labels, including zero landings.</ns0:t>
      </ns0:r>
    </ns0:p>
    <ns0:p>
      <ns0:r>
        <ns0:rPr>
          <ns0:b ns0:val="0"/>
        </ns0:rPr>
        <ns0:t>51 source groups; 512 catch taxa. Computational import groups are separate.</ns0:t>
      </ns0:r>
    </ns0:p>
    <ns0:p>
      <ns0:r>
        <ns0:rPr>
          <ns0:b ns0:val="0"/>
        </ns0:rPr>
        <ns0:t>Simple-chain PPR totals 244,709,206 t C in 2019.</ns0:t>
      </ns0:r>
    </ns0:p>
    <ns0:p>
      <ns0:r>
        <ns0:rPr>
          <ns0:b ns0:val="0"/>
        </ns0:rPr>
        <ns0:t>100 labels lack a saved TL/coefficient. All have zero recorded 2019 landings and contribute zero annual PPR; the annual total is complete.</ns0:t>
      </ns0:r>
    </ns0:p>
    <ns0:p>
      <ns0:r>
        <ns0:rPr>
          <ns0:b ns0:val="0"/>
        </ns0:rPr>
        <ns0:t>Method: independent simple trophic chain, using retained taxon coefficients.</ns0:t>
      </ns0:r>
    </ns0:p>
    <ns0:p>
      <ns0:r>
        <ns0:rPr>
          <ns0:b ns0:val="0"/>
        </ns0:rPr>
      </ns0:r>
      <ns0:hyperlink ns2:id="rId27">
        <ns0:r>
          <ns0:rPr>
            <ns0:rStyle ns0:val="Hyperlink"/>
            <ns0:color ns0:val="0563C1"/>
            <ns0:u ns0:val="single"/>
            <ns0:sz ns0:val="22"/>
          </ns0:rPr>
          <ns0:t>Excel taxon appendix and descriptive Sources sheet</ns0:t>
        </ns0:r>
      </ns0:hyperlink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cantSplit/>
          <ns0:tblHeader/>
        </ns0:trPr>
        <ns0:tc>
          <ns0:tcPr>
            <ns0:tcW ns0:type="dxa" ns0:w="388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Overall confidence</ns0:t>
            </ns0:r>
          </ns0:p>
        </ns0:tc>
        <ns0:tc>
          <ns0:tcPr>
            <ns0:tcW ns0:type="dxa" ns0:w="144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Taxa (n)</ns0:t>
            </ns0:r>
          </ns0:p>
        </ns0:tc>
        <ns0:tc>
          <ns0:tcPr>
            <ns0:tcW ns0:type="dxa" ns0:w="230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Catch (%)</ns0:t>
            </ns0:r>
          </ns0:p>
        </ns0:tc>
        <ns0:tc>
          <ns0:tcPr>
            <ns0:tcW ns0:type="dxa" ns0:w="2376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Simple-chain PPR (%)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116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49%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37%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283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25%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39%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Low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45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1.7%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9.8%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68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24%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14%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Unresolved</ns0:t>
            </ns0:r>
          </ns0:p>
        </ns0:tc>
        <ns0:tc>
          <ns0:tcPr>
            <ns0:tcW ns0:type="dxa" ns0:w="144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</ns0:t>
            </ns0:r>
          </ns0:p>
        </ns0:tc>
        <ns0:tc>
          <ns0:tcPr>
            <ns0:tcW ns0:type="dxa" ns0:w="230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0%</ns0:t>
            </ns0:r>
          </ns0:p>
        </ns0:tc>
        <ns0:tc>
          <ns0:tcPr>
            <ns0:tcW ns0:type="dxa" ns0:w="2376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0%</ns0:t>
            </ns0:r>
          </ns0:p>
        </ns0:tc>
      </ns0:tr>
    </ns0:tbl>
    <ns0:p>
      <ns0:r>
        <ns0:t>Overall confidence uses the weaker required membership or allocation component.</ns0:t>
      </ns0:r>
    </ns0:p>
    <ns0:p>
      <ns0:pPr>
        <ns0:pStyle ns0:val="Heading2"/>
      </ns0:pPr>
      <ns0:r>
        <ns0:t>Group assignment rules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cantSplit/>
          <ns0:tblHeader/>
        </ns0:trPr>
        <ns0:tc>
          <ns0:tcPr>
            <ns0:tcW ns0:type="dxa" ns0:w="662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Plain-language rule</ns0:t>
            </ns0:r>
          </ns0:p>
        </ns0:tc>
        <ns0:tc>
          <ns0:tcPr>
            <ns0:tcW ns0:type="dxa" ns0:w="151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Confidence</ns0:t>
            </ns0:r>
          </ns0:p>
        </ns0:tc>
        <ns0:tc>
          <ns0:tcPr>
            <ns0:tcW ns0:type="dxa" ns0:w="187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Explicit species assignment in the source composition table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Supported extension from listed regional representatives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Supported ecological extension to a documented guild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reporting category approximated across compatible groups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Partial or conflicting ecological fit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9.8%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Assumed eligible group set supported by source taxonomy and ecology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3.1%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Unambiguous fit to the documented residual cephalopod group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2.6%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Closest represented analogue despite habitat or taxonomic mismatch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Very low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2.1%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Verified synonym of an explicitly listed source species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0.20%</ns0:t>
            </ns0:r>
          </ns0:p>
        </ns0:tc>
      </ns0:tr>
    </ns0:tbl>
    <ns0:p>
      <ns0:r>
        <ns0:rPr>
          <ns0:b ns0:val="0"/>
        </ns0:rPr>
        <ns0:t xml:space="preserve">Membership evidence: source Tables S1, S4 and S5, documented guild definitions and regional taxonomic evidence. </ns0:t>
      </ns0:r>
      <ns0:hyperlink ns2:id="rId14">
        <ns0:r>
          <ns0:rPr>
            <ns0:rStyle ns0:val="Hyperlink"/>
            <ns0:color ns0:val="0563C1"/>
            <ns0:u ns0:val="single"/>
            <ns0:sz ns0:val="22"/>
          </ns0:rPr>
          <ns0:t>Source supplement</ns0:t>
        </ns0:r>
      </ns0:hyperlink>
    </ns0:p>
    <ns0:p>
      <ns0:pPr>
        <ns0:pStyle ns0:val="Heading2"/>
      </ns0:pPr>
      <ns0:r>
        <ns0:t>Allocation weight rules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cantSplit/>
          <ns0:tblHeader/>
        </ns0:trPr>
        <ns0:tc>
          <ns0:tcPr>
            <ns0:tcW ns0:type="dxa" ns0:w="662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Plain-language rule</ns0:t>
            </ns0:r>
          </ns0:p>
        </ns0:tc>
        <ns0:tc>
          <ns0:tcPr>
            <ns0:tcW ns0:type="dxa" ns0:w="151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Confidence</ns0:t>
            </ns0:r>
          </ns0:p>
        </ns0:tc>
        <ns0:tc>
          <ns0:tcPr>
            <ns0:tcW ns0:type="dxa" ns0:w="1872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One eligible group; no allocation split needed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High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83%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Source model 1991 reported catch proportions, assumed across target years and bases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17%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Model-biomass proportions when complete candidate catches have zero total</ns0:t>
            </ns0:r>
          </ns0:p>
        </ns0:tc>
        <ns0:tc>
          <ns0:tcPr>
            <ns0:tcW ns0:type="dxa" ns0:w="151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Medium</ns0:t>
            </ns0:r>
          </ns0:p>
        </ns0:tc>
        <ns0:tc>
          <ns0:tcPr>
            <ns0:tcW ns0:type="dxa" ns0:w="1872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0.047%</ns0:t>
            </ns0:r>
          </ns0:p>
        </ns0:tc>
      </ns0:tr>
    </ns0:tbl>
    <ns0:p>
      <ns0:r>
        <ns0:rPr>
          <ns0:b ns0:val="0"/>
        </ns0:rPr>
        <ns0:t xml:space="preserve">Weights and assumptions: source 1991 catch proportions; complete model biomass where candidate catch totals are zero. The spatial, temporal and life-stage transfer is assumed. Juvenile source zeros do not show that later catches or discards contain no juveniles. </ns0:t>
      </ns0:r>
      <ns0:hyperlink ns2:id="rId11">
        <ns0:r>
          <ns0:rPr>
            <ns0:rStyle ns0:val="Hyperlink"/>
            <ns0:color ns0:val="0563C1"/>
            <ns0:u ns0:val="single"/>
            <ns0:sz ns0:val="22"/>
          </ns0:rPr>
          <ns0:t>Allocation evidence</ns0:t>
        </ns0:r>
      </ns0:hyperlink>
    </ns0:p>
    <ns0:p>
      <ns0:r>
        <ns0:t>Each percentage is the independent simple-chain PPR associated with taxa using that rule.</ns0:t>
      </ns0:r>
    </ns0:p>
    <ns0:p>
      <ns0:r>
        <ns0:rPr>
          <ns0:b ns0:val="0"/>
        </ns0:rPr>
        <ns0:t>No unresolved mappings remain. The 68 Very low assignments account for 24% of catch and 14% of simple-chain PPR.</ns0:t>
      </ns0:r>
    </ns0:p>
    <ns0:p>
      <ns0:pPr>
        <ns0:pStyle ns0:val="Heading2"/>
      </ns0:pPr>
      <ns0:r>
        <ns0:t>Very low decisions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Actinopterygii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ray-finned-fish reporting spans named fish, pelagic, coastal and shelf pools. Approximate with source fish pools3–29 except11/20 (selacians), which are taxonomically excluded. Constituent composition is unobserved.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Alepisaurus ferox; Brama brama; Bramidae; Lampris guttatus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Bathypelagic or oceanic midwater fish lack their own depth/feeding compartment. Pelagic L is the closest mobile pelagic-fish analogue, with deep-water/feeding differences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Alopias; Alopias superciliosus; Alopias vulpinus; Carcharhinus falciformis; Carcharhinus galapagensis; Carcharhinus longimanus; Carcharhinus signatus; Carcharodon carcharias; Cetorhinus maximus; Isurus; Isurus oxyrinchus; Isurus paucus; Lamna nasus; Lamnidae; Lamniformes; Mobula birostris; Odontaspis ferox; Prionace glauca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Oceanic, highly migratory or large filter-feeding elasmobranch lacks a matching pool. Shelf selacians is the closest offshore cartilaginous-fish analogue; oceanic/depth or feeding differences (especially basking shark/mobula) are material. Coastal selacians would not resolve those differences.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Antimora rostrata; Mora moro; Trachyrincus scabrus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 slope fish exceed the modeled shelf domain. Shelf L includes a deep-associated macrourid and provides a meaningful predatory demersal-fish analogue, with depth/composition mismatch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Aristaeomorpha foliacea; Aristaeopsis edwardsiana; Aristeidae; Aristeus antennatus; Aristeus varidens; Chaceon affinis; Chaceon maritae; Geryon; Paromola cuvieri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Deep/slope large crustaceans extend beyond the modeled &lt;200 m shelf and lack a deep-water pool; shelf large crustaceans are the closest represented benthic decapod analogue. This habitat mismatch is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Carcharhinidae; Carcharhiniformes; Carcharhinus; Squaliformes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shark reporting spans source coastal/shelf habitats and potentially oceanic/deep species. Both selacian pools are a meaningful approximation; no observed species/habitat composition supports stronger containment.</ns0:t>
            </ns0:r>
          </ns0:p>
        </ns0:tc>
      </ns0:tr>
    </ns0:tbl>
    <ns0:p>
      <ns0:pPr>
        <ns0:pageBreakBefore/>
        <ns0:spacing ns0:before="0" ns0:after="0" ns0:line="1" ns0:lineRule="exact"/>
      </ns0:pP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Centrophorus; Centrophorus granulosus; Centrophorus lusitanicus; Centrophorus squamosus; Centroscyllium fabricii; Centroscymnus coelolepis; Centroselachus crepidater; Dalatias licha; Deania calceus; Echinorhinus brucus; Etmopterus; Etmopterus princeps; Scymnodon ringens; Somniosus rostratus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Deep-water dogfish/shark assemblage extends beyond the modeled shelf. Shelf selacians (including Squalus/Oxynotus/Galeus) is the closest taxonomic/demersal analogue, with depth and unlisted-species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Chimaeriformes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Chimaeras have no source group and differ taxonomically from selacians; shelf selacians are the closest cartilaginous demersal-fish analogue, with deep-water and feeding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Chondrichthyes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cartilaginous-fish label includes sharks/rays in both source pools and potentially unrepresented chimaeras. Approximate with both meaningful selacian pools; disclose unrepresented component.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Decapoda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decapod reporting can include large harvested shrimps/crabs/lobsters and smaller benthic forms. Use large and small Banc/shelf crustacean pools; cannot infer strict large-only containment from provider commercial tag. Exclude pelagic macrozooplankton because source macro examples are euphausiids/mysids rather than harvested adult Decapoda.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Lepas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Pelagic/rafting goose barnacles are crustaceans without a matching sessile-epifaunal compartment. Small benthic crustacean pools are the closest size/taxonomic analogue, with habitat and feeding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Malacostraca; Miscellaneous marine crustaceans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Composition unspecified across large and small benthic crustaceans and macrozooplankton (euphausiids/mysids). Retain those compatible compartments; source catch labels do not establish a complete size/habitat boundary. Meio/larval pools excluded as not a plausible adult fishery reporting population.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finfishes not identified; Marine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Unidentified finfish can span named fish, pelagic, coastal and shelf pools. No observed composition supports a narrower exclusion; approximate with all source fish pools (3–29), including selacians.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groundfishes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Groundfish reporting establishes demersal tendency but no species mix. Include compatible named and generic coastal/shelf fish groups, including demersal elasmobranchs; exclude strictly pelagic/mullet pools.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Marine pelagic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Pelagic reporting spans migratory mullets, the five named pelagic pools, Coastal M (Ethmalosa), Shelf M (explicit pelagic/benthopelagic jacks) and offshore selacian analogue (potential pelagic sharks/rays). Pool names do not exclude these known exceptions. Unobserved composition is a broad approximation; strictly benthic fish pools are excluded.</ns0:t>
            </ns0:r>
          </ns0:p>
        </ns0:tc>
      </ns0:tr>
    </ns0:tbl>
    <ns0:p>
      <ns0:pPr>
        <ns0:pageBreakBefore/>
        <ns0:spacing ns0:before="0" ns0:after="0" ns0:line="1" ns0:lineRule="exact"/>
      </ns0:pP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Miscellaneous aquatic invertebrates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Unidentified invertebrate reporting can include cephalopods, large/small crustaceans, molluscs, worms, echinoderms and other macro-invertebrates. The provider tag is not exhaustive; named and residual compatible macrofaunal pools retained. Meio/mesoplankton and primary producers excluded as unsupported harvested reporting components.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Mollusca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The taxonomic label can include cephalopods and benthic molluscs. Provider demersal-invertebrate tag does not prove cephalopods absent. Retain both named cephalopod groups and Banc/shelf mollusc pools in a broad composition approximation.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Myctophidae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Mesopelagic lanternfish are not a represented source fish pool. Sardinelles/anchovy supplies the closest small schooling zooplanktivorous-fish analogue, despite depth and diel-migration mismatch.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Octopoda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Broad order includes benthic octopuses represented by Octopus vulgaris and potentially pelagic argonaut/octopod forms in other cephalopods; unobserved composition is approximated across both.</ns0:t>
            </ns0:r>
          </ns0:p>
        </ns0:tc>
      </ns0:tr>
      <ns0:tr>
        <ns0:trPr>
          <ns0:cantSplit/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Perciformes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</ns0:pPr>
            <ns0:r>
              <ns0:rPr>
                <ns0:b ns0:val="0"/>
                <ns0:sz ns0:val="21"/>
              </ns0:rPr>
              <ns0:t>Historical broad perch-like reporting spans many source fish pools. Approximate using compatible named/guild compartments, excluding clupeiforms, selacians, catfish and flatfish-only groups; no observed constituent mix is available.</ns0:t>
            </ns0:r>
          </ns0:p>
        </ns0:tc>
      </ns0:tr>
    </ns0:tbl>
    <ns0:p>
      <ns0:pPr>
        <ns0:pStyle ns0:val="Heading1"/>
        <ns0:pageBreakBefore/>
      </ns0:pPr>
      <ns0:r>
        <ns0:rPr>
          <ns0:b ns0:val="0"/>
        </ns0:rPr>
        <ns0:t>Geographic evidence</ns0:t>
      </ns0:r>
    </ns0:p>
    <ns0:p>
      <ns0:r>
        <ns0:rPr>
          <ns0:b ns0:val="0"/>
        </ns0:rPr>
        <ns0:t xml:space="preserve">The study covers a narrow Mauritanian shelf portion of the Canary Current LME. Approximate coverage accounts for land exclusion and the shelf’s 200 m offshore boundary. </ns0:t>
      </ns0:r>
      <ns0:hyperlink ns2:id="rId28">
        <ns0:r>
          <ns0:rPr>
            <ns0:rStyle ns0:val="Hyperlink"/>
            <ns0:color ns0:val="0563C1"/>
            <ns0:u ns0:val="single"/>
            <ns0:sz ns0:val="22"/>
          </ns0:rPr>
          <ns0:t>Boundary and area evidence</ns0:t>
        </ns0:r>
      </ns0:hyperlink>
    </ns0:p>
    <ns0:p>
      <ns0:pPr>
        <ns0:pStyle ns0:val="Heading2"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Target region boundary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  <ns0:jc ns0:val="center"/>
            </ns0:pPr>
            <ns0:r>
              <ns0:rPr>
                <ns0:b ns0:val="0"/>
                <ns0:sz ns0:val="21"/>
              </ns0:rPr>
            </ns0:r>
            <ns0:r>
              <ns0:drawing>
                <ns3:inline>
                  <ns3:extent cx="5394960" cy="6078828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30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394960" cy="6078828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r>
        <ns0:rPr>
          <ns0:b ns0:val="0"/>
        </ns0:rPr>
        <ns0:t xml:space="preserve">Canary Current LME 27 in blue; approximate study shelf in orange. Project LME boundary and Natural Earth 1:50m land mask. </ns0:t>
      </ns0:r>
      <ns0:hyperlink ns2:id="rId29">
        <ns0:r>
          <ns0:rPr>
            <ns0:rStyle ns0:val="Hyperlink"/>
            <ns0:color ns0:val="0563C1"/>
            <ns0:u ns0:val="single"/>
            <ns0:sz ns0:val="22"/>
          </ns0:rPr>
          <ns0:t>Regional comparison</ns0:t>
        </ns0:r>
      </ns0:hyperlink>
    </ns0:p>
    <ns0:p>
      <ns0:pPr>
        <ns0:pStyle ns0:val="Heading2"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b/>
                <ns0:sz ns0:val="21"/>
              </ns0:rPr>
              <ns0:t>Study boundary for the selected model</ns0:t>
            </ns0:r>
          </ns0:p>
        </ns0:tc>
      </ns0:tr>
      <ns0:tr>
        <ns0:trPr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 ns0:val="0"/>
              <ns0:spacing ns0:after="60"/>
              <ns0:jc ns0:val="center"/>
            </ns0:pPr>
            <ns0:r>
              <ns0:rPr>
                <ns0:b ns0:val="0"/>
                <ns0:sz ns0:val="21"/>
              </ns0:rPr>
            </ns0:r>
            <ns0:r>
              <ns0:drawing>
                <ns3:inline>
                  <ns3:extent cx="5120640" cy="6875771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ource_figure1.png"/>
                          <ns5:cNvPicPr/>
                        </ns5:nvPicPr>
                        <ns5:blipFill>
                          <ns4:blip ns2:embed="rId32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120640" cy="6875771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r>
        <ns0:rPr>
          <ns0:b ns0:val="0"/>
        </ns0:rPr>
        <ns0:t xml:space="preserve">Guénette, Meissa &amp; Gascuel (2014), Figure 1, PDF page 3. The study area is the shelf shallower than 200 m, approximately 33,224 km² including the 6,450 km² Banc. The solid black offshore line marks the larger EEZ. </ns0:t>
      </ns0:r>
      <ns0:hyperlink ns2:id="rId31">
        <ns0:r>
          <ns0:rPr>
            <ns0:rStyle ns0:val="Hyperlink"/>
            <ns0:color ns0:val="0563C1"/>
            <ns0:u ns0:val="single"/>
            <ns0:sz ns0:val="22"/>
          </ns0:rPr>
          <ns0:t>Original figure</ns0:t>
        </ns0:r>
      </ns0:hyperlink>
    </ns0:p>
    <ns0:sectPr ns0:rsidR="00FC693F" ns0:rsidRPr="0006063C" ns0:rsidSect="00034616"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yperlink" Target="../../../../../LME_027.xlsx" TargetMode="External" /><ns0:Relationship Id="rId10" Type="http://schemas.openxmlformats.org/officeDocument/2006/relationships/hyperlink" Target="../../../../../raw/catch/LME_027-catch.zip" TargetMode="External" /><ns0:Relationship Id="rId11" Type="http://schemas.openxmlformats.org/officeDocument/2006/relationships/hyperlink" Target="../../../../../work/2026-10-04_000003_retained_investigation/qa/BancArguin_20261003/mapping/reference_summaries.json" TargetMode="External" /><ns0:Relationship Id="rId12" Type="http://schemas.openxmlformats.org/officeDocument/2006/relationships/hyperlink" Target="https://doi.org/10.1371/journal.pone.0094742" TargetMode="External" /><ns0:Relationship Id="rId13" Type="http://schemas.openxmlformats.org/officeDocument/2006/relationships/hyperlink" Target="../../../sources/file-e30dfe50.pdf" TargetMode="External" /><ns0:Relationship Id="rId14" Type="http://schemas.openxmlformats.org/officeDocument/2006/relationships/hyperlink" Target="../../../sources/pone.0094742.s001-eb18ca66.docx" TargetMode="External" /><ns0:Relationship Id="rId15" Type="http://schemas.openxmlformats.org/officeDocument/2006/relationships/hyperlink" Target="../../../../../../../../Project.xlsx" TargetMode="External" /><ns0:Relationship Id="rId16" Type="http://schemas.openxmlformats.org/officeDocument/2006/relationships/hyperlink" Target="../../../../../../../LME_027/papers" TargetMode="External" /><ns0:Relationship Id="rId17" Type="http://schemas.openxmlformats.org/officeDocument/2006/relationships/hyperlink" Target="../model.json" TargetMode="External" /><ns0:Relationship Id="rId18" Type="http://schemas.openxmlformats.org/officeDocument/2006/relationships/hyperlink" Target="../extracted_tables/REPORT.md" TargetMode="External" /><ns0:Relationship Id="rId19" Type="http://schemas.openxmlformats.org/officeDocument/2006/relationships/hyperlink" Target="../../../../../work/2026-10-04_000003_retained_investigation/qa/BancArguin_20261003/context/workbook_context.json" TargetMode="External" /><ns0:Relationship Id="rId20" Type="http://schemas.openxmlformats.org/officeDocument/2006/relationships/hyperlink" Target="../extracted_tables/SOURCE_CONFLICTS.json" TargetMode="External" /><ns0:Relationship Id="rId21" Type="http://schemas.openxmlformats.org/officeDocument/2006/relationships/hyperlink" Target="../extracted_tables/DIET_CELL_LEDGER.json" TargetMode="External" /><ns0:Relationship Id="rId22" Type="http://schemas.openxmlformats.org/officeDocument/2006/relationships/hyperlink" Target="../../../../../work/2026-10-04_000003_retained_investigation/qa/BancArguin_20261003/context/context_summary.json" TargetMode="External" /><ns0:Relationship Id="rId23" Type="http://schemas.openxmlformats.org/officeDocument/2006/relationships/hyperlink" Target="../../../../../work/2026-10-04_000003_retained_investigation/qa/BancArguin_20261003/runtime/Base_source_admission/summary.json" TargetMode="External" /><ns0:Relationship Id="rId24" Type="http://schemas.openxmlformats.org/officeDocument/2006/relationships/hyperlink" Target="../../../../../work/2026-10-04_000003_retained_investigation/qa/BancArguin_20261003/runtime/Base_runtime_PQ_approximation/summary.json" TargetMode="External" /><ns0:Relationship Id="rId25" Type="http://schemas.openxmlformats.org/officeDocument/2006/relationships/hyperlink" Target="../../../../../work/2026-10-04_000003_retained_investigation/qa/BancArguin_20261003/regional_comparison.json" TargetMode="External" /><ns0:Relationship Id="rId26" Type="http://schemas.openxmlformats.org/officeDocument/2006/relationships/hyperlink" Target="../../../../../work/2026-10-04_000003_retained_investigation/qa/BancArguin_20261003/runtime/EcoBase689_native_companion/summary.json" TargetMode="External" /><ns0:Relationship Id="rId27" Type="http://schemas.openxmlformats.org/officeDocument/2006/relationships/hyperlink" Target="taxon_mapping.xlsx" TargetMode="External" /><ns0:Relationship Id="rId28" Type="http://schemas.openxmlformats.org/officeDocument/2006/relationships/hyperlink" Target="../../../../../work/2026-10-04_000003_retained_investigation/qa/BancArguin_20261003/context/geographic_assessment.json" TargetMode="External" /><ns0:Relationship Id="rId29" Type="http://schemas.openxmlformats.org/officeDocument/2006/relationships/hyperlink" Target="../../../../../work/2026-10-04_000003_retained_investigation/qa/BancArguin_20261003/context/geographic_comparison.png" TargetMode="External" /><ns0:Relationship Id="rId30" Type="http://schemas.openxmlformats.org/officeDocument/2006/relationships/image" Target="media/image1.png" /><ns0:Relationship Id="rId31" Type="http://schemas.openxmlformats.org/officeDocument/2006/relationships/hyperlink" Target="../../../sources/Figure_1-78156383.tif" TargetMode="External" /><ns0:Relationship Id="rId32" Type="http://schemas.openxmlformats.org/officeDocument/2006/relationships/image" Target="media/image2.png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Concise evidence summary for researcher review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