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rPr>
          <ns0:b ns0:val="0"/>
          <ns0:color ns0:val="000000"/>
        </ns0:rPr>
        <ns0:t>Canary Current P30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Canary Current (LME 027)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workbook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Sea Around Us retained regional dataset, 1950–2019; landings reference year 2019. Provider revision unspecified.</ns0:t>
            </ns0:r>
          </ns0:p>
          <ns0:p>
            <ns0:pPr>
              <ns0:spacing ns0:after="60"/>
            </ns0:pPr>
            <ns0:hyperlink ns2:id="rId1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archive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and coefficient context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 article: Guénette S, Meissa B, Gascuel D (2014). Assessing the Contribution of Marine Protected Areas to the Trophic Functioning of Ecosystems: A Model for the Banc d’Arguin and the Mauritanian Shelf. PLoS ONE 9(4), e94742.</ns0:t>
            </ns0:r>
          </ns0:p>
          <ns0:p>
            <ns0:pPr>
              <ns0:spacing ns0:after="60"/>
            </ns0:pPr>
            <ns0:hyperlink ns2:id="rId1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DOI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Article PDF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Supplement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Morissette, Melgo, Kaschner, Gerber &amp; Bamy (2009): Northwest African food-web model; the currently selected EcoBase 118 version represents 1987.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Villanueva, Tito-de-Morais, Weigel &amp; Moreau (2004): An Ecopath model of the Sine-Saloum Delta biosphere reserve (Senegal).</ns0:t>
            </ns0:r>
          </ns0:p>
          <ns0:p>
            <ns0:pPr>
              <ns0:spacing ns0:after="60"/>
            </ns0:pPr>
            <ns0:hyperlink ns2:id="rId1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Central article records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6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Retained source folders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Candidate: Guenette2014_BancArguin_P30_1991. 51 source groups, 47 consumers and 3 reported fleets; Mauritanian shelf to 200 m, approximately 33,224 km². Baseline 1991; Ecosim calibration 1991–2006.</ns0:t>
            </ns0:r>
          </ns0:p>
          <ns0:p>
            <ns0:pPr>
              <ns0:spacing ns0:after="60"/>
            </ns0:pPr>
            <ns0:hyperlink ns2:id="rId17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Canonical model JSON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8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extraction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Base assumes equal subtidal and intertidal benthos density; M30 lowers assumed subtidal density by 30%. The alternatives alter Banc feeding proportions and selected balanced biomasses.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All three share the 1991 shelf domain. EcoBase 689 is a separately deposited numerical version, with material differences from the printed tables.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Article – ? Candidate review requested; no recorded decision selects this article.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 – ? No decision selects this variant. Overview retains Northwest Africa 1987 after the earlier comparison recorded failures for the Banc d’Arguin configurations.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Current selection record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Exact recorded rationale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Table 1 and S8 Base conflict; for BA phytoplankton, EE is 0.260 versus 0.40. Both values and their table contexts remain documented.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P30: S8 supplies scenario biomass, EE and aggregate Banc-feeding proportions, but leaves 114 diet cells across 14 consumers unpublished. Complete scenario diet/import matrices were not recovered.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S2 prints Groupers ad → BA L crustaceans as 1.34 (diet sum 2.2006); Coastal birds sum to 0.980331. Four blank cells remain unknown. The source matrix was not repaired.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Multi-stanza Z is distinct from P/B; missing P/B and growth/transition details are retained separately. No discard observations were reported; unknowns remain distinct from zero.</ns0:t>
            </ns0:r>
          </ns0:p>
          <ns0:p>
            <ns0:pPr>
              <ns0:spacing ns0:after="60"/>
            </ns0:pPr>
            <ns0:hyperlink ns2:id="rId2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conflicts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Diet cell evidence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Online recovery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NOT_RUN. The P30 scenario lacks 114 diet cells across 14 consumers. No scenario-specific coefficient or per-source SPPR matrix is available.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Negative SPPR, rho_living, b and Detritus (51) SPPR: not determined.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completeness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NOT_RUN. The P30 scenario lacks 114 diet cells across 14 consumers. No scenario-specific coefficient or per-source SPPR matrix is available.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Negative SPPR, rho_living and Detritus (51) SPPR: not determined.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completeness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[Researcher calculation choices and notes]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A. Region covered by study: approximately 3.0% (about 2.5–3.5%).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B. Study area covered by region: approximately 95–100%.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baseline represents 1991 and calibration spans 1991–2006; the mapping reference is 2019. Transferring fixed coefficients and source catch/biomass proportions across years and across the much larger LME is an explicit approximation.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Base or EcoBase 689 coefficients cannot stand in for this scenario. The independent simple-chain PPR and catch-mapping assessment below do not require scenario SPPR.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currently selected Northwest Africa 1987 model was disqualified by Ido Carmel on 02/10/2026: “Reason – too strong living compartments recycling due to near-zero EE values (rho_living = 0.99).” This is a separate model’s review.</ns0:t>
            </ns0:r>
          </ns0:p>
          <ns0:p>
            <ns0:pPr>
              <ns0:spacing ns0:after="60"/>
            </ns0:pPr>
            <ns0:hyperlink ns2:id="rId2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assessment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Independent native-deposit audit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Researcher name: [name] | review date: [dd/mm/yyyy]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Taxon mapping and coverage</ns0:t>
      </ns0:r>
    </ns0:p>
    <ns0:p>
      <ns0:r>
        <ns0:rPr>
          <ns0:b ns0:val="0"/>
        </ns0:rPr>
        <ns0:t>Reference: 2019 landings; all retained regional catch labels, including zero landings.</ns0:t>
      </ns0:r>
    </ns0:p>
    <ns0:p>
      <ns0:r>
        <ns0:rPr>
          <ns0:b ns0:val="0"/>
        </ns0:rPr>
        <ns0:t>51 source groups; 512 catch taxa. Computational import groups are separate.</ns0:t>
      </ns0:r>
    </ns0:p>
    <ns0:p>
      <ns0:r>
        <ns0:rPr>
          <ns0:b ns0:val="0"/>
        </ns0:rPr>
        <ns0:t>Simple-chain PPR totals 244,709,206 t C in 2019.</ns0:t>
      </ns0:r>
    </ns0:p>
    <ns0:p>
      <ns0:r>
        <ns0:rPr>
          <ns0:b ns0:val="0"/>
        </ns0:rPr>
        <ns0:t>100 labels lack a saved TL/coefficient. All have zero recorded 2019 landings and contribute zero annual PPR; the annual total is complete.</ns0:t>
      </ns0:r>
    </ns0:p>
    <ns0:p>
      <ns0:r>
        <ns0:rPr>
          <ns0:b ns0:val="0"/>
        </ns0:rPr>
        <ns0:t>Method: independent simple trophic chain, using retained taxon coefficients.</ns0:t>
      </ns0:r>
    </ns0:p>
    <ns0:p>
      <ns0:r>
        <ns0:rPr>
          <ns0:b ns0:val="0"/>
        </ns0:rPr>
      </ns0:r>
      <ns0:hyperlink ns2:id="rId26">
        <ns0:r>
          <ns0:rPr>
            <ns0:rStyle ns0:val="Hyperlink"/>
            <ns0:color ns0:val="0563C1"/>
            <ns0:u ns0:val="single"/>
            <ns0:sz ns0:val="22"/>
          </ns0:rPr>
          <ns0:t>Excel taxon appendix and descriptive Sources sheet</ns0:t>
        </ns0:r>
      </ns0:hyperlink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cantSplit/>
          <ns0:tblHeader/>
        </ns0:trPr>
        <ns0:tc>
          <ns0:tcPr>
            <ns0:tcW ns0:type="dxa" ns0:w="388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Overall confidence</ns0:t>
            </ns0:r>
          </ns0:p>
        </ns0:tc>
        <ns0:tc>
          <ns0:tcPr>
            <ns0:tcW ns0:type="dxa" ns0:w="144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Taxa (n)</ns0:t>
            </ns0:r>
          </ns0:p>
        </ns0:tc>
        <ns0:tc>
          <ns0:tcPr>
            <ns0:tcW ns0:type="dxa" ns0:w="230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(%)</ns0:t>
            </ns0:r>
          </ns0:p>
        </ns0:tc>
        <ns0:tc>
          <ns0:tcPr>
            <ns0:tcW ns0:type="dxa" ns0:w="2376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Simple-chain PPR (%)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116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49%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283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25%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39%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45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1.7%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68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24%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Unresolved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</ns0:tr>
    </ns0:tbl>
    <ns0:p>
      <ns0:r>
        <ns0:t>Overall confidence uses the weaker required membership or allocation component.</ns0:t>
      </ns0:r>
    </ns0:p>
    <ns0:p>
      <ns0:pPr>
        <ns0:pStyle ns0:val="Heading2"/>
      </ns0:pPr>
      <ns0:r>
        <ns0:t>Group assignment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Explicit species assignment in the source composition table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extension from listed regional representatives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ecological extension to a documented guild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reporting category approximated across compatible groups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Partial or conflicting ecological fit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Assumed eligible group set supported by source taxonomy and ecology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Unambiguous fit to the documented residual cephalopod group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Closest represented analogue despite habitat or taxonomic mismatch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Verified synonym of an explicitly listed source species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0.20%</ns0:t>
            </ns0:r>
          </ns0:p>
        </ns0:tc>
      </ns0:tr>
    </ns0:tbl>
    <ns0:p>
      <ns0:r>
        <ns0:rPr>
          <ns0:b ns0:val="0"/>
        </ns0:rPr>
        <ns0:t xml:space="preserve">Membership evidence: source Tables S1, S4 and S5, documented guild definitions and regional taxonomic evidence. </ns0:t>
      </ns0:r>
      <ns0:hyperlink ns2:id="rId14">
        <ns0:r>
          <ns0:rPr>
            <ns0:rStyle ns0:val="Hyperlink"/>
            <ns0:color ns0:val="0563C1"/>
            <ns0:u ns0:val="single"/>
            <ns0:sz ns0:val="22"/>
          </ns0:rPr>
          <ns0:t>Source supplement</ns0:t>
        </ns0:r>
      </ns0:hyperlink>
    </ns0:p>
    <ns0:p>
      <ns0:pPr>
        <ns0:pStyle ns0:val="Heading2"/>
      </ns0:pPr>
      <ns0:r>
        <ns0:t>Allocation weight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One eligible group; no allocation split needed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83%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Source model 1991 reported catch proportions, assumed across target years and bases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Model-biomass proportions when complete candidate catches have zero total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0.047%</ns0:t>
            </ns0:r>
          </ns0:p>
        </ns0:tc>
      </ns0:tr>
    </ns0:tbl>
    <ns0:p>
      <ns0:r>
        <ns0:rPr>
          <ns0:b ns0:val="0"/>
        </ns0:rPr>
        <ns0:t xml:space="preserve">Weights and assumptions: source 1991 catch proportions; complete model biomass where candidate catch totals are zero. The spatial, temporal and life-stage transfer is assumed. Juvenile source zeros do not show that later catches or discards contain no juveniles. </ns0:t>
      </ns0:r>
      <ns0:hyperlink ns2:id="rId11">
        <ns0:r>
          <ns0:rPr>
            <ns0:rStyle ns0:val="Hyperlink"/>
            <ns0:color ns0:val="0563C1"/>
            <ns0:u ns0:val="single"/>
            <ns0:sz ns0:val="22"/>
          </ns0:rPr>
          <ns0:t>Allocation evidence</ns0:t>
        </ns0:r>
      </ns0:hyperlink>
    </ns0:p>
    <ns0:p>
      <ns0:r>
        <ns0:t>Each percentage is the independent simple-chain PPR associated with taxa using that rule.</ns0:t>
      </ns0:r>
    </ns0:p>
    <ns0:p>
      <ns0:r>
        <ns0:rPr>
          <ns0:b ns0:val="0"/>
        </ns0:rPr>
        <ns0:t>No unresolved mappings remain. The 68 Very low assignments account for 24% of catch and 14% of simple-chain PPR.</ns0:t>
      </ns0:r>
    </ns0:p>
    <ns0:p>
      <ns0:pPr>
        <ns0:pStyle ns0:val="Heading2"/>
      </ns0:pPr>
      <ns0:r>
        <ns0:t>Very low decisions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Actinopterygii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ray-finned-fish reporting spans named fish, pelagic, coastal and shelf pools. Approximate with source fish pools3–29 except11/20 (selacians), which are taxonomically excluded. Constituent composition is unobserved.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Alepisaurus ferox; Brama brama; Bramidae; Lampris guttatus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Bathypelagic or oceanic midwater fish lack their own depth/feeding compartment. Pelagic L is the closest mobile pelagic-fish analogue, with deep-water/feeding differences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Alopias; Alopias superciliosus; Alopias vulpinus; Carcharhinus falciformis; Carcharhinus galapagensis; Carcharhinus longimanus; Carcharhinus signatus; Carcharodon carcharias; Cetorhinus maximus; Isurus; Isurus oxyrinchus; Isurus paucus; Lamna nasus; Lamnidae; Lamniformes; Mobula birostris; Odontaspis ferox; Prionace glauca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Oceanic, highly migratory or large filter-feeding elasmobranch lacks a matching pool. Shelf selacians is the closest offshore cartilaginous-fish analogue; oceanic/depth or feeding differences (especially basking shark/mobula) are material. Coastal selacians would not resolve those differences.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Antimora rostrata; Mora moro; Trachyrincus scabrus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 slope fish exceed the modeled shelf domain. Shelf L includes a deep-associated macrourid and provides a meaningful predatory demersal-fish analogue, with depth/composition mismatch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Aristaeomorpha foliacea; Aristaeopsis edwardsiana; Aristeidae; Aristeus antennatus; Aristeus varidens; Chaceon affinis; Chaceon maritae; Geryon; Paromola cuvieri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Deep/slope large crustaceans extend beyond the modeled &lt;200 m shelf and lack a deep-water pool; shelf large crustaceans are the closest represented benthic decapod analogue. This habitat mismatch is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Carcharhinidae; Carcharhiniformes; Carcharhinus; Squaliformes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shark reporting spans source coastal/shelf habitats and potentially oceanic/deep species. Both selacian pools are a meaningful approximation; no observed species/habitat composition supports stronger containment.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Centrophorus; Centrophorus granulosus; Centrophorus lusitanicus; Centrophorus squamosus; Centroscyllium fabricii; Centroscymnus coelolepis; Centroselachus crepidater; Dalatias licha; Deania calceus; Echinorhinus brucus; Etmopterus; Etmopterus princeps; Scymnodon ringens; Somniosus rostratus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Deep-water dogfish/shark assemblage extends beyond the modeled shelf. Shelf selacians (including Squalus/Oxynotus/Galeus) is the closest taxonomic/demersal analogue, with depth and unlisted-species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Chimaeras have no source group and differ taxonomically from selacians; shelf selacians are the closest cartilaginous demersal-fish analogue, with deep-water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Chondrichthyes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cartilaginous-fish label includes sharks/rays in both source pools and potentially unrepresented chimaeras. Approximate with both meaningful selacian pools; disclose unrepresented component.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Decapoda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decapod reporting can include large harvested shrimps/crabs/lobsters and smaller benthic forms. Use large and small Banc/shelf crustacean pools; cannot infer strict large-only containment from provider commercial tag. Exclude pelagic macrozooplankton because source macro examples are euphausiids/mysids rather than harvested adult Decapoda.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Lepas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Pelagic/rafting goose barnacles are crustaceans without a matching sessile-epifaunal compartment. Small benthic crustacean pools are the closest size/taxonomic analogue, with habitat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Malacostraca; Miscellaneous marine crustaceans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Composition unspecified across large and small benthic crustaceans and macrozooplankton (euphausiids/mysids). Retain those compatible compartments; source catch labels do not establish a complete size/habitat boundary. Meio/larval pools excluded as not a plausible adult fishery reporting population.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finfishes not identified; Marine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finfish can span named fish, pelagic, coastal and shelf pools. No observed composition supports a narrower exclusion; approximate with all source fish pools (3–29), including selacians.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groundfishes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Groundfish reporting establishes demersal tendency but no species mix. Include compatible named and generic coastal/shelf fish groups, including demersal elasmobranchs; exclude strictly pelagic/mullet pools.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pelagic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 reporting spans migratory mullets, the five named pelagic pools, Coastal M (Ethmalosa), Shelf M (explicit pelagic/benthopelagic jacks) and offshore selacian analogue (potential pelagic sharks/rays). Pool names do not exclude these known exceptions. Unobserved composition is a broad approximation; strictly benthic fish pools are excluded.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Miscellaneous aquatic invertebrates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invertebrate reporting can include cephalopods, large/small crustaceans, molluscs, worms, echinoderms and other macro-invertebrates. The provider tag is not exhaustive; named and residual compatible macrofaunal pools retained. Meio/mesoplankton and primary producers excluded as unsupported harvested reporting components.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Mollusca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taxonomic label can include cephalopods and benthic molluscs. Provider demersal-invertebrate tag does not prove cephalopods absent. Retain both named cephalopod groups and Banc/shelf mollusc pools in a broad composition approximation.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Myctophidae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Mesopelagic lanternfish are not a represented source fish pool. Sardinelles/anchovy supplies the closest small schooling zooplanktivorous-fish analogue, despite depth and diel-migration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Octopoda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order includes benthic octopuses represented by Octopus vulgaris and potentially pelagic argonaut/octopod forms in other cephalopods; unobserved composition is approximated across both.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Perciformes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Historical broad perch-like reporting spans many source fish pools. Approximate using compatible named/guild compartments, excluding clupeiforms, selacians, catfish and flatfish-only groups; no observed constituent mix is available.</ns0:t>
            </ns0:r>
          </ns0:p>
        </ns0:tc>
      </ns0:tr>
    </ns0:tbl>
    <ns0:p>
      <ns0:pPr>
        <ns0:pStyle ns0:val="Heading1"/>
        <ns0:pageBreakBefore/>
      </ns0:pPr>
      <ns0:r>
        <ns0:rPr>
          <ns0:b ns0:val="0"/>
        </ns0:rPr>
        <ns0:t>Geographic evidence</ns0:t>
      </ns0:r>
    </ns0:p>
    <ns0:p>
      <ns0:r>
        <ns0:rPr>
          <ns0:b ns0:val="0"/>
        </ns0:rPr>
        <ns0:t xml:space="preserve">The study covers a narrow Mauritanian shelf portion of the Canary Current LME. Approximate coverage accounts for land exclusion and the shelf’s 200 m offshore boundary. </ns0:t>
      </ns0:r>
      <ns0:hyperlink ns2:id="rId27">
        <ns0:r>
          <ns0:rPr>
            <ns0:rStyle ns0:val="Hyperlink"/>
            <ns0:color ns0:val="0563C1"/>
            <ns0:u ns0:val="single"/>
            <ns0:sz ns0:val="22"/>
          </ns0:rPr>
          <ns0:t>Boundary and area evidence</ns0:t>
        </ns0:r>
      </ns0:hyperlink>
    </ns0:p>
    <ns0:p>
      <ns0:pPr>
        <ns0:pStyle ns0:val="Heading2"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Target region boundary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394960" cy="6078828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9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394960" cy="607882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Canary Current LME 27 in blue; approximate study shelf in orange. Project LME boundary and Natural Earth 1:50m land mask. </ns0:t>
      </ns0:r>
      <ns0:hyperlink ns2:id="rId28">
        <ns0:r>
          <ns0:rPr>
            <ns0:rStyle ns0:val="Hyperlink"/>
            <ns0:color ns0:val="0563C1"/>
            <ns0:u ns0:val="single"/>
            <ns0:sz ns0:val="22"/>
          </ns0:rPr>
          <ns0:t>Regional comparison</ns0:t>
        </ns0:r>
      </ns0:hyperlink>
    </ns0:p>
    <ns0:p>
      <ns0:pPr>
        <ns0:pStyle ns0:val="Heading2"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Study boundary for the selected model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120640" cy="6875771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1.png"/>
                          <ns5:cNvPicPr/>
                        </ns5:nvPicPr>
                        <ns5:blipFill>
                          <ns4:blip ns2:embed="rId31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120640" cy="687577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Guénette, Meissa &amp; Gascuel (2014), Figure 1, PDF page 3. The study area is the shelf shallower than 200 m, approximately 33,224 km² including the 6,450 km² Banc. The solid black offshore line marks the larger EEZ. </ns0:t>
      </ns0:r>
      <ns0:hyperlink ns2:id="rId30">
        <ns0:r>
          <ns0:rPr>
            <ns0:rStyle ns0:val="Hyperlink"/>
            <ns0:color ns0:val="0563C1"/>
            <ns0:u ns0:val="single"/>
            <ns0:sz ns0:val="22"/>
          </ns0:rPr>
          <ns0:t>Original figure</ns0:t>
        </ns0:r>
      </ns0:hyperlink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../../../../../LME_027.xlsx" TargetMode="External" /><ns0:Relationship Id="rId10" Type="http://schemas.openxmlformats.org/officeDocument/2006/relationships/hyperlink" Target="../../../../../raw/catch/LME_027-catch.zip" TargetMode="External" /><ns0:Relationship Id="rId11" Type="http://schemas.openxmlformats.org/officeDocument/2006/relationships/hyperlink" Target="../../../../../work/2026-10-04_000003_retained_investigation/qa/BancArguin_20261003/mapping/reference_summaries.json" TargetMode="External" /><ns0:Relationship Id="rId12" Type="http://schemas.openxmlformats.org/officeDocument/2006/relationships/hyperlink" Target="https://doi.org/10.1371/journal.pone.0094742" TargetMode="External" /><ns0:Relationship Id="rId13" Type="http://schemas.openxmlformats.org/officeDocument/2006/relationships/hyperlink" Target="../../../sources/file-e30dfe50.pdf" TargetMode="External" /><ns0:Relationship Id="rId14" Type="http://schemas.openxmlformats.org/officeDocument/2006/relationships/hyperlink" Target="../../../sources/pone.0094742.s001-eb18ca66.docx" TargetMode="External" /><ns0:Relationship Id="rId15" Type="http://schemas.openxmlformats.org/officeDocument/2006/relationships/hyperlink" Target="../../../../../../../../Project.xlsx" TargetMode="External" /><ns0:Relationship Id="rId16" Type="http://schemas.openxmlformats.org/officeDocument/2006/relationships/hyperlink" Target="../../../../../../../LME_027/papers" TargetMode="External" /><ns0:Relationship Id="rId17" Type="http://schemas.openxmlformats.org/officeDocument/2006/relationships/hyperlink" Target="../model.json" TargetMode="External" /><ns0:Relationship Id="rId18" Type="http://schemas.openxmlformats.org/officeDocument/2006/relationships/hyperlink" Target="../extracted_tables/REPORT.md" TargetMode="External" /><ns0:Relationship Id="rId19" Type="http://schemas.openxmlformats.org/officeDocument/2006/relationships/hyperlink" Target="../../../../../work/2026-10-04_000003_retained_investigation/qa/BancArguin_20261003/context/workbook_context.json" TargetMode="External" /><ns0:Relationship Id="rId20" Type="http://schemas.openxmlformats.org/officeDocument/2006/relationships/hyperlink" Target="../extracted_tables/SOURCE_CONFLICTS.json" TargetMode="External" /><ns0:Relationship Id="rId21" Type="http://schemas.openxmlformats.org/officeDocument/2006/relationships/hyperlink" Target="../extracted_tables/DIET_CELL_LEDGER.json" TargetMode="External" /><ns0:Relationship Id="rId22" Type="http://schemas.openxmlformats.org/officeDocument/2006/relationships/hyperlink" Target="../../../../../work/2026-10-04_000003_retained_investigation/qa/BancArguin_20261003/context/context_summary.json" TargetMode="External" /><ns0:Relationship Id="rId23" Type="http://schemas.openxmlformats.org/officeDocument/2006/relationships/hyperlink" Target="../extracted_tables/EXTRACTION_STATUS.json" TargetMode="External" /><ns0:Relationship Id="rId24" Type="http://schemas.openxmlformats.org/officeDocument/2006/relationships/hyperlink" Target="../../../../../work/2026-10-04_000003_retained_investigation/qa/BancArguin_20261003/regional_comparison.json" TargetMode="External" /><ns0:Relationship Id="rId25" Type="http://schemas.openxmlformats.org/officeDocument/2006/relationships/hyperlink" Target="../../../../../work/2026-10-04_000003_retained_investigation/qa/BancArguin_20261003/runtime/EcoBase689_native_companion/summary.json" TargetMode="External" /><ns0:Relationship Id="rId26" Type="http://schemas.openxmlformats.org/officeDocument/2006/relationships/hyperlink" Target="taxon_mapping.xlsx" TargetMode="External" /><ns0:Relationship Id="rId27" Type="http://schemas.openxmlformats.org/officeDocument/2006/relationships/hyperlink" Target="../../../../../work/2026-10-04_000003_retained_investigation/qa/BancArguin_20261003/context/geographic_assessment.json" TargetMode="External" /><ns0:Relationship Id="rId28" Type="http://schemas.openxmlformats.org/officeDocument/2006/relationships/hyperlink" Target="../../../../../work/2026-10-04_000003_retained_investigation/qa/BancArguin_20261003/context/geographic_comparison.png" TargetMode="External" /><ns0:Relationship Id="rId29" Type="http://schemas.openxmlformats.org/officeDocument/2006/relationships/image" Target="media/image1.png" /><ns0:Relationship Id="rId30" Type="http://schemas.openxmlformats.org/officeDocument/2006/relationships/hyperlink" Target="../../../sources/Figure_1-78156383.tif" TargetMode="External" /><ns0:Relationship Id="rId31" Type="http://schemas.openxmlformats.org/officeDocument/2006/relationships/image" Target="media/image2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Concise evidence summary for researcher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