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Canary Current Sine Saloum thesis candidate review</ns0:t>
      </ns0:r>
    </ns0:p>
    <ns0:p>
      <ns0:r>
        <ns0:rPr>
          <ns0:sz ns0:val="22"/>
        </ns0:rPr>
        <ns0:t>The preferred thesis describes a 37-group estuary model for 1991–1992. Its basic table and diet annex disagree about group 20, preventing a defensible SPPR calculation. Its reported area can cover at most 0.049% of the Canary Current LME. This is an unsigned candidate review draft; the active selection remains EcoBase 118.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</ns0:trPr>
        <ns0:tc>
          <ns0:tcPr>
            <ns0:tcW ns0:type="dxa" ns0:w="2203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Entry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Canary Current | LME_027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Candidate: Sine-Saloum estuary, Senegal.</ns0:t>
            </ns0:r>
          </ns0:p>
          <ns0:p>
            <ns0:hyperlink ns2:id="rId9">
              <ns0:r>
                <ns0:rPr>
                  <ns0:color ns0:val="0563C1"/>
                  <ns0:u ns0:val="single"/>
                  <ns0:sz ns0:val="21"/>
                </ns0:rPr>
                <ns0:t>Regional workbook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Sea Around Us; retained regional catch records 1950–2019. Reference: 2019 landings, excluding discards.</ns0:t>
            </ns0:r>
          </ns0:p>
          <ns0:p>
            <ns0:hyperlink ns2:id="rId10">
              <ns0:r>
                <ns0:rPr>
                  <ns0:color ns0:val="0563C1"/>
                  <ns0:u ns0:val="single"/>
                  <ns0:sz ns0:val="21"/>
                </ns0:rPr>
                <ns0:t>Catch evidence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Preferred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Villanueva, Maria Concepcion S. (2004). Biodiversité et relations trophiques dans quelques milieux estuariens et lagunaires de l’Afrique de l’Ouest : adaptations aux pressions environnementales. Doctoral thesis, Institut National Polytechnique de Toulouse / ENSAT. Source title page: defended 29 October 2004; a harvested catalogue date differs. No DOI located.</ns0:t>
            </ns0:r>
          </ns0:p>
          <ns0:p>
            <ns0:hyperlink ns2:id="rId11">
              <ns0:r>
                <ns0:rPr>
                  <ns0:color ns0:val="0563C1"/>
                  <ns0:u ns0:val="single"/>
                  <ns0:sz ns0:val="21"/>
                </ns0:rPr>
                <ns0:t>Thesis PDF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  <ns0:sz ns0:val="21"/>
                </ns0:rPr>
                <ns0:t>Source metadata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  <ns0:sz ns0:val="21"/>
                </ns0:rPr>
                <ns0:t>Archimer record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Villanueva, Tito-de-Morais, Weigel and Moreau, An Ecopath model of the Sine-Saloum Delta Biosphere Reserve (Senegal), proceedings report cover 2004 / legal imprint 2005: a different 38-group preliminary version.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Villanueva, Diouf, Albaret and Moreau (2005), Complexity in trophic structure and stability in a modelled West African estuary, in Coastal Ecosystems of West-Africa, edited by J.-J. Symoens, pp. 15–26: a related 37-group release.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Morissette et al. (2009), Northwest Africa food-web model, FCRR 17(2): same model lineage as selected EcoBase 118. Guénette et al. (2014), Banc d’Arguin and Mauritanian Shelf, PLOS ONE e94742: distinct shelf models.</ns0:t>
            </ns0:r>
          </ns0:p>
          <ns0:p>
            <ns0:hyperlink ns2:id="rId14">
              <ns0:r>
                <ns0:rPr>
                  <ns0:color ns0:val="0563C1"/>
                  <ns0:u ns0:val="single"/>
                  <ns0:sz ns0:val="21"/>
                </ns0:rPr>
                <ns0:t>Supplied chapter</ns0:t>
              </ns0:r>
            </ns0:hyperlink>
            <ns0:r>
              <ns0:t xml:space="preserve"> | </ns0:t>
            </ns0:r>
            <ns0:hyperlink ns2:id="rId15">
              <ns0:r>
                <ns0:rPr>
                  <ns0:color ns0:val="0563C1"/>
                  <ns0:u ns0:val="single"/>
                  <ns0:sz ns0:val="21"/>
                </ns0:rPr>
                <ns0:t>2005 follow-up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Candidate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27_Villanueva2004_SineSaloum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Preferred variant: thesis Table 6.5 / Annex II.A, Sine-Saloum, 1991–1992, 37 source groups. Related EcoBase accession 612 identifies this model lineage, but its official numerical input is unavailable. The local canonical representation is explicitly incomplete.</ns0:t>
            </ns0:r>
          </ns0:p>
          <ns0:p>
            <ns0:hyperlink ns2:id="rId16">
              <ns0:r>
                <ns0:rPr>
                  <ns0:color ns0:val="0563C1"/>
                  <ns0:u ns0:val="single"/>
                  <ns0:sz ns0:val="21"/>
                </ns0:rPr>
                <ns0:t>Candidate folder</ns0:t>
              </ns0:r>
            </ns0:hyperlink>
            <ns0:r>
              <ns0:t xml:space="preserve"> | </ns0:t>
            </ns0:r>
            <ns0:hyperlink ns2:id="rId17">
              <ns0:r>
                <ns0:rPr>
                  <ns0:color ns0:val="0563C1"/>
                  <ns0:u ns0:val="single"/>
                  <ns0:sz ns0:val="21"/>
                </ns0:rPr>
                <ns0:t>Canonical partial model</ns0:t>
              </ns0:r>
            </ns0:hyperlink>
            <ns0:r>
              <ns0:t xml:space="preserve"> | </ns0:t>
            </ns0:r>
            <ns0:hyperlink ns2:id="rId18">
              <ns0:r>
                <ns0:rPr>
                  <ns0:color ns0:val="0563C1"/>
                  <ns0:u ns0:val="single"/>
                  <ns0:sz ns0:val="21"/>
                </ns0:rPr>
                <ns0:t>Identity assessment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thesis also models Gambia (41 groups, 2000–2002; Table 6.6), Ébrié Lagoon (42 groups, 1980–1981; Table 6.7), and Nokoué Lagoon (31 groups, 2000–2001; Table 6.8). These are separate ecosystem models and were not evaluated as Sine-Saloum replacements in this review.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Article – The researcher authorized the downloaded and documented thesis as the preferred source after the supplied chapter lacked a quantitative diet matrix.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Model – Review the thesis Sine-Saloum model as a regional alternative; its stated period and quantitative annex improve evidence. Geographic proximity does not establish suitability.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Table 6.5 and the complete 37-prey × 34-consumer Annex II.A were extracted separately. The annex uses fractions despite its percent caption; consumer sums are 0.999–1.000 and are preserved.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Group 27 labels refer to the same documented mullet pool. Group 20 is unresolved: the basic table names Epinephelus aeneus, but the annex names Hemichromis fasciatus; Table 3.3 separates those compartments. Canonical cells requiring that join remain unknown. GS, BA and routing are unreported; no defaults, normalization or numerical repair were applied.</ns0:t>
            </ns0:r>
          </ns0:p>
          <ns0:p>
            <ns0:hyperlink ns2:id="rId19">
              <ns0:r>
                <ns0:rPr>
                  <ns0:color ns0:val="0563C1"/>
                  <ns0:u ns0:val="single"/>
                  <ns0:sz ns0:val="21"/>
                </ns0:rPr>
                <ns0:t>Full literal extraction</ns0:t>
              </ns0:r>
            </ns0:hyperlink>
            <ns0:r>
              <ns0:t xml:space="preserve"> | </ns0:t>
            </ns0:r>
            <ns0:hyperlink ns2:id="rId20">
              <ns0:r>
                <ns0:rPr>
                  <ns0:color ns0:val="0563C1"/>
                  <ns0:u ns0:val="single"/>
                  <ns0:sz ns0:val="21"/>
                </ns0:rPr>
                <ns0:t>Diet identity crosswalk</ns0:t>
              </ns0:r>
            </ns0:hyperlink>
            <ns0:r>
              <ns0:t xml:space="preserve"> | </ns0:t>
            </ns0:r>
            <ns0:hyperlink ns2:id="rId21">
              <ns0:r>
                <ns0:rPr>
                  <ns0:color ns0:val="0563C1"/>
                  <ns0:u ns0:val="single"/>
                  <ns0:sz ns0:val="21"/>
                </ns0:rPr>
                <ns0:t>Admission blocker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NOT_RUN — unresolved group 20 diet identity blocks source admission.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Negative SPPR entries, rho_living, b and Detritus (37) SPPR cannot be determined. No GE matrix or coefficients are available.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NOT_RUN — the same source identity conflict blocks source admission.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Negative SPPR entries, rho_living and Detritus (37) SPPR cannot be determined. No TE matrix or coefficients are available.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[Researcher calculation choices and notes]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A. Region covered by study: at most approximately 0.049% (reported-area upper bound).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B. Study area covered by region: not determined; the model water boundary is ambiguous in the schematic and source bounds. Main channels lie within the target geometry.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modeled period is 1991–1992; thesis field sampling also includes 1992–1993. The reference landings year 2019 is 27–28 years later. Fixed source catch/biomass mixtures across 1950–2019 are assumptions and cannot reconstruct annual estuarine or offshore food-web change.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With Egestion is also NOT_RUN. No candidate GE/TE/Egestion regional PPR or PPR/NPP is available. Independent simple-chain PPR remains calculable from the regional taxon coefficients.</ns0:t>
            </ns0:r>
          </ns0:p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selected EcoBase 118 remains disqualified on 02/10/2026: “Reason – too strong living compartments recycling due to near-zero EE values (rho_living = 0.99).” The thesis is a distinct local model, but shared source lineage and model distinction do not establish independent observations or whole-LME representativeness.</ns0:t>
            </ns0:r>
          </ns0:p>
          <ns0:p>
            <ns0:hyperlink ns2:id="rId22">
              <ns0:r>
                <ns0:rPr>
                  <ns0:color ns0:val="0563C1"/>
                  <ns0:u ns0:val="single"/>
                  <ns0:sz ns0:val="21"/>
                </ns0:rPr>
                <ns0:t>Direct diagnostic records</ns0:t>
              </ns0:r>
            </ns0:hyperlink>
            <ns0:r>
              <ns0:t xml:space="preserve"> | </ns0:t>
            </ns0:r>
            <ns0:hyperlink ns2:id="rId23">
              <ns0:r>
                <ns0:rPr>
                  <ns0:color ns0:val="0563C1"/>
                  <ns0:u ns0:val="single"/>
                  <ns0:sz ns0:val="21"/>
                </ns0:rPr>
                <ns0:t>Preserved signed review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Researcher name: ____________________ | review date: dd/mm/yyyy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Taxon mapping and coverage</ns0:t>
      </ns0:r>
    </ns0:p>
    <ns0:p>
      <ns0:r>
        <ns0:t>Reference: 2019 landings, excluding discards; all recorded taxon labels, including zero-landings rows. Candidate mappings below remain unadopted.</ns0:t>
      </ns0:r>
    </ns0:p>
    <ns0:p>
      <ns0:r>
        <ns0:t>37 source groups; 512 catch taxa.</ns0:t>
      </ns0:r>
    </ns0:p>
    <ns0:p>
      <ns0:r>
        <ns0:t>Simple-chain PPR totals 244,709,206 t C in 2019.</ns0:t>
      </ns0:r>
    </ns0:p>
    <ns0:p>
      <ns0:r>
        <ns0:t>100 taxa have no saved classic coefficient; all have zero 2019 landings and contribute zero annual PPR. No positive-catch contribution is unknown.</ns0:t>
      </ns0:r>
    </ns0:p>
    <ns0:p>
      <ns0:r>
        <ns0:t>Method: independent simple trophic chain using the saved regional taxon coefficients.</ns0:t>
      </ns0:r>
    </ns0:p>
    <ns0:p>
      <ns0:r/>
      <ns0:hyperlink ns2:id="rId24">
        <ns0:r>
          <ns0:rPr>
            <ns0:color ns0:val="0563C1"/>
            <ns0:u ns0:val="single"/>
            <ns0:sz ns0:val="21"/>
          </ns0:rPr>
          <ns0:t>Excel taxon appendix and descriptive Sources sheet</ns0:t>
        </ns0:r>
      </ns0:hyperlink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cantSplit/>
          <ns0:tblHeader/>
        </ns0:trPr>
        <ns0:tc>
          <ns0:tcPr>
            <ns0:tcW ns0:type="dxa" ns0:w="388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Overall confidence</ns0:t>
            </ns0:r>
          </ns0:p>
        </ns0:tc>
        <ns0:tc>
          <ns0:tcPr>
            <ns0:tcW ns0:type="dxa" ns0:w="144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Taxa (n)</ns0:t>
            </ns0:r>
          </ns0:p>
        </ns0:tc>
        <ns0:tc>
          <ns0:tcPr>
            <ns0:tcW ns0:type="dxa" ns0:w="230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(%)</ns0:t>
            </ns0:r>
          </ns0:p>
        </ns0:tc>
        <ns0:tc>
          <ns0:tcPr>
            <ns0:tcW ns0:type="dxa" ns0:w="2376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Simple-chain PPR (%)</ns0:t>
            </ns0:r>
          </ns0:p>
        </ns0:tc>
      </ns0:tr>
      <ns0:tr>
        <ns0:trPr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High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71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19%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9.2%</ns0:t>
            </ns0:r>
          </ns0:p>
        </ns0:tc>
      </ns0:tr>
      <ns0:tr>
        <ns0:trPr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Medium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23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0.66%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1.4%</ns0:t>
            </ns0:r>
          </ns0:p>
        </ns0:tc>
      </ns0:tr>
      <ns0:tr>
        <ns0:trPr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4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0.19%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0.49%</ns0:t>
            </ns0:r>
          </ns0:p>
        </ns0:tc>
      </ns0:tr>
      <ns0:tr>
        <ns0:trPr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Very 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414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80%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89%</ns0:t>
            </ns0:r>
          </ns0:p>
        </ns0:tc>
      </ns0:tr>
      <ns0:tr>
        <ns0:trPr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Unresolved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0%</ns0:t>
            </ns0:r>
          </ns0:p>
        </ns0:tc>
      </ns0:tr>
    </ns0:tbl>
    <ns0:p>
      <ns0:r>
        <ns0:t>Overall confidence uses the weaker required membership or allocation component.</ns0:t>
      </ns0:r>
    </ns0:p>
    <ns0:p>
      <ns0:pPr>
        <ns0:pStyle ns0:val="Heading2"/>
      </ns0:pPr>
      <ns0:r>
        <ns0:t>Group assignment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closest represented ecological or taxonomic analogue is used for an unrepresented taxon, with the actual mismatch disclosed.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78%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 broad catch label is approximated by a recorded set of source pools because its composition or containment is unknown.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11%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Species is explicitly assigned by the Sine-Saloum source membership table or is the exact model principal species.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7.1%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catch taxon fits an explicitly documented generic source group, with its taxonomic reporting scope verified.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1.6%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An unlisted relative is added to a documented pooled group on taxonomic evidence; membership remains an assumption.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1.3%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 source membership or compartment-identity conflict weakens an otherwise supported assignment.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0.49%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An authoritative synonym or historical spelling links the catch taxon to an explicitly listed source member.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0.47%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Taxonomy and source pool definitions support an inferred candidate set whose composition remains assumed.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0.11%</ns0:t>
            </ns0:r>
          </ns0:p>
        </ns0:tc>
      </ns0:tr>
    </ns0:tbl>
    <ns0:p>
      <ns0:r>
        <ns0:t xml:space="preserve">Thesis Tables 3.3 and 6.5, group-definition prose and verified taxonomy. </ns0:t>
      </ns0:r>
      <ns0:hyperlink ns2:id="rId25">
        <ns0:r>
          <ns0:rPr>
            <ns0:color ns0:val="0563C1"/>
            <ns0:u ns0:val="single"/>
            <ns0:sz ns0:val="21"/>
          </ns0:rPr>
          <ns0:t>Full candidate audit</ns0:t>
        </ns0:r>
      </ns0:hyperlink>
    </ns0:p>
    <ns0:p>
      <ns0:pPr>
        <ns0:pStyle ns0:val="Heading2"/>
      </ns0:pPr>
      <ns0:r>
        <ns0:t>Allocation weight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complete catch taxon is assigned to one model group; no numerical split is needed.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89%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Complete thesis-model biomass proportions replace incomplete source catch values, assuming representative composition and catchability.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10%</ns0:t>
            </ns0:r>
          </ns0:p>
        </ns0:tc>
      </ns0:tr>
      <ns0:tr>
        <ns0:trPr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Weights use the candidate groups’ thesis-model catch proportions, assumed applicable to the regional catch and constant over years.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0.70%</ns0:t>
            </ns0:r>
          </ns0:p>
        </ns0:tc>
      </ns0:tr>
    </ns0:tbl>
    <ns0:p>
      <ns0:r>
        <ns0:t xml:space="preserve">Source catch proportions, then complete biomass where usable, supply assumed mixtures. One-group assignments need no split. Fixed historical mixtures are transferred to 2019 landings. </ns0:t>
      </ns0:r>
      <ns0:hyperlink ns2:id="rId26">
        <ns0:r>
          <ns0:rPr>
            <ns0:color ns0:val="0563C1"/>
            <ns0:u ns0:val="single"/>
            <ns0:sz ns0:val="21"/>
          </ns0:rPr>
          <ns0:t>Candidate allocation evidence</ns0:t>
        </ns0:r>
      </ns0:hyperlink>
    </ns0:p>
    <ns0:p>
      <ns0:r>
        <ns0:t>Each percentage is the independent simple-chain PPR associated with taxa using that rule.</ns0:t>
      </ns0:r>
    </ns0:p>
    <ns0:p>
      <ns0:r>
        <ns0:t>Unresolved taxa: none. 414 Very low decisions account for 80% of catch and 89% of simple-chain PPR. High assignment coverage does not establish valid SPPR or whole-LME ecological fit.</ns0:t>
      </ns0:r>
    </ns0:p>
    <ns0:p>
      <ns0:pPr>
        <ns0:pStyle ns0:val="Heading2"/>
      </ns0:pPr>
      <ns0:r>
        <ns0:t>Very low decisions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Actinopterygii; Marine finfishes not identified; Marine fishes not identified; Perciformes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Broad bony-fish composition is unknown across named and residual estuarine fish pools; whole-LME unidentified catch is approximated by the source assemblage.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Alectis ciliaris; Campogramma glaycos; Decapterus; Decapterus macarellus; Elagatis bipinnulata; Pseudocaranx dentex; Scyris alexandrina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Unlisted jack/scad taxa use the source Carangidae pool as a taxonomic analogue; their ecology and actual source membership remain uncertain.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Selene dorsalis; Seriola dumerili; Seriola rivoliana; Trachurus; Trachurus mediterraneus; Trachurus picturatus; Trachurus trachurus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Unlisted jack/scad taxa use the source Carangidae pool as a taxonomic analogue; their ecology and actual source membership remain uncertain.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Trachurus trecae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Unlisted jack/scad taxa use the source Carangidae pool as a taxonomic analogue; their ecology and actual source membership remain uncertain.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Ablennes hians; Acanthocybium solandri; Alepisaurus ferox; Antimora rostrata; Argentina sphyraena; Auxis; Auxis rochei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Auxis thazard; Belone belone; Belonidae; Brama brama; Bramidae; Coryphaena; Coryphaena hippurus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Dicentrarchus punctatus; Diplodus bellottii; Echeneidae; Euthynnus alletteratus; Hoplostethus atlanticus; Istiophoridae; Istiophorus albicans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Kajikia albida; Katsuwonus pelamis; Lagocephalus laevigatus; Lampris guttatus; Makaira nigricans; Megalops atlanticus; Mora moro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Orcynopsis unicolor; Pomatomus saltatrix; Rachycentridae; Rachycentron canadum; Sarda; Sarda sarda; Scomber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Scomber colias; Scomber scombrus; Scomberesox saurus; Scombridae; Scombroidei; Tetrapturus belone; Tetrapturus pfluegeri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Thunnus; Thunnus alalunga; Thunnus albacares; Thunnus obesus; Thunnus thynnus; Trachichthyidae; Trachyrincus scabrus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Xiphias gladius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pelagic and bathypelagic fishes use the predatory barracuda pool; habitat, taxonomy and trophic specialization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Alosa; Atherina presbyter; Atherinidae; Engraulidae; Engraulis encrasicolus; Myctophidae; Sardina pilchardus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small pelagics use the source Sardinella pool as a schooling-fish analogue; taxonomy and sometimes habitat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Aluterus; Aluterus monoceros; Anguilla anguilla; Anguilliformes; Anthias anthias; Apsilus fuscus; Balistes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Balistes capriscus; Balistidae; Berycidae; Beryx; Beryx decadactylus; Beryx splendens; Bodianus scrofa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Boops boops; Branchiostegus; Brotula; Brotula barbata; Capros aper; Centracanthus cirrus; Centrolophidae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Chelidonichthys lastoviza; Chelidonichthys lucerna; Chromis limbata; Conger conger; Congridae; Coris julis; Dentex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Dentex angolensis; Dentex dentex; Dentex gibbosus; Dentex macrophthalmus; Dentex maroccanus; Dicentrarchus; Dicentrarchus labrax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Diplodus; Diplodus annularis; Diplodus cervinus; Diplodus puntazzo; Diplodus sargus; Diplodus vulgaris; Echelus myrus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Epigonus telescopus; Fistularia tabacaria; Fistulariidae; Gadidae; Gadiformes; Gephyroberyx darwinii; Gymnothorax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Gymnothorax maderensis; Gymnothorax polygonius; Gymnothorax unicolor; Halobatrachus didactylus; Helicolenus dactylopterus; Heteropriacanthus cruentatus; Labridae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Labrus; Lethrinus atlanticus; Lithognathus mormyrus; Lophiidae; Lophius; Lophius budegassa; Lophius vaillanti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Lutjanidae; Lutjanus; Lutjanus agennes; Macroramphosus scolopax; Merlucciidae; Merluccius; Merluccius merluccius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Merluccius polli; Merluccius senegalensis; Micromesistius poutassou; Monacanthidae; Moronidae; Mullidae; Mullus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Mullus barbatus; Mullus surmuletus; Muraena augusti; Muraena helena; Muraenidae; Oblada melanurus; Ophidiidae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Pagellus; Pagellus acarne; Pagellus bellottii; Pagellus bogaraveo; Pagellus erythrinus; Pagrus; Pagrus africanus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Pagrus auriga; Pagrus caeruleostictus; Pagrus pagrus; Parapristipoma octolineatum; Peristediidae; Phycis; Phycis blennoides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Phycis phycis; Polymixia nobilis; Polynemidae; Polyprion americanus; Pomacentridae; Pontinus kuhlii; Priacanthidae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Priacanthus; Priacanthus arenatus; Pseudupeneus prayensis; Schedophilus ovalis; Schedophilus pemarco; Scorpaena; Scorpaena notata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Scorpaena porcus; Scorpaena scrofa; Scorpaenidae; Scorpaeniformes; Sebastidae; Serranus; Serranus cabrilla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Serranus scriba; Similiparma lurida; Sparidae; Sparus aurata; Sphoeroides marmoratus; Spicara; Spondyliosoma cantharus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Stephanolepis hispida; Stromateidae; Stromateus fiatola; Symphodus; Synodus saurus; Tetraodontidae; Thalassoma pavo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Trachinus; Trachinus radiatus; Triglidae; Trisopterus luscus; Uranoscopus; Uranoscopus scaber; Zenopsis conchifer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Zeus faber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demersal, reef and benthopelagic fishes use the coastal grunt pool; family, depth, habitat and feeding specialization can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Alopias; Alopias superciliosus; Alopias vulpinus; Carcharhinidae; Carcharhiniformes; Carcharhinus; Carcharhinus brachyurus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Carcharhinus brevipinna; Carcharhinus falciformis; Carcharhinus galapagensis; Carcharhinus leucas; Carcharhinus limbatus; Carcharhinus longimanus; Carcharhinus obscurus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Carcharhinus plumbeus; Carcharhinus signatus; Carcharias taurus; Carcharodon carcharias; Centrophorus; Centrophorus granulosus; Centrophorus lusitanicus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Centrophorus squamosus; Centroscyllium fabricii; Centroscymnus coelolepis; Centroselachus crepidater; Cetorhinus maximus; Dalatias licha; Deania calceus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Echinorhinus brucus; Etmopterus; Etmopterus princeps; Galeocerdo cuvier; Galeorhinus galeus; Galeus melastomus; Ginglymostoma cirratum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Heptranchias perlo; Hexanchus griseus; Isurus; Isurus oxyrinchus; Isurus paucus; Lamna nasus; Lamnidae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Lamniformes; Leptocharias smithii; Mustelus; Mustelus asterias; Mustelus mustelus; Odontaspis ferox; Oxynotus centrina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Prionace glauca; Rhizoprionodon acutus; Scyliorhinidae; Scyliorhinus; Scyliorhinus canicula; Scyliorhinus stellaris; Scymnodon ringens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Somniosus rostratus; Sphyrna; Sphyrna lewini; Sphyrna mokarran; Sphyrna zygaena; Sphyrnidae; Squalidae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Squaliformes; Squalus; Squalus acanthias; Squalus blainville; Squatina squatina; Squatinidae; Triakidae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Sharks have no source compartment; benthic cartilaginous or pelagic predatory-fish analogues transfer body form, trophic ecology and often depth.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Cephalopoda; Illex coindetii; Loliginidae; Loligo; Loligo forbesii; Octopoda; Octopodidae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Cephalopods are unrepresented; a bivalve/gastropod-dominated macrobenthos analogue transfers trophic function and, for pelagic forms, habitat.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Octopus; Octopus vulgaris; Ommastrephes; Ommastrephes bartramii; Ommastrephidae; Sepia; Sepia officinalis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Cephalopods are unrepresented; a bivalve/gastropod-dominated macrobenthos analogue transfers trophic function and, for pelagic forms, habitat.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Sepiida; Sepiidae; Teuthida; Todarodes sagittatus; Todaropsis eblanae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Cephalopods are unrepresented; a bivalve/gastropod-dominated macrobenthos analogue transfers trophic function and, for pelagic forms, habitat.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Scomberomorus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An unrepresented taxon or unresolved reported genus uses a named single-species relative; the source does not document its inclusion.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Cephalopholis taeniops; Epinephelus; Epinephelus caninus; Epinephelus goreensis; Epinephelus marginatus; Mycteroperca fusca; Mycteroperca rubra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Grouper and bottom-predator placement is tentative because basic inputs and diet group20 identify different fish families.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Serranidae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Grouper and bottom-predator placement is tentative because basic inputs and diet group20 identify different fish families.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Batoidea; Chondrichthyes; Elasmobranchii; Rajiformes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Broad cartilaginous-fish composition mixes ray and predatory-fish analogues; unrepresented sharks, chimaeras and specialized rays remain a major biological mismatch.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Arnoglossus laterna; Bothidae; Bothus podas; Citharus linguatula; Dicologlossa cuneata; Dicologlossa hexophthalma; Lepidorhombus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flatfish families use the Citarichthys/Psettodes and Cynoglossus pools; source taxonomic containment and their target split are unknown.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Lepidorhombus boscii; Lepidorhombus whiffiagonis; Microchirus; Microchirus variegatus; Pleuronectiformes; Psettodes bennettii; Psettodidae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flatfish families use the Citarichthys/Psettodes and Cynoglossus pools; source taxonomic containment and their target split are unknown.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Solea; Solea senegalensis; Solea solea; Soleidae; Synapturichthys kleinii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flatfish families use the Citarichthys/Psettodes and Cynoglossus pools; source taxonomic containment and their target split are unknown.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Aphanopus carbo; Aphanopus intermedius; Gempylidae; Lepidocybium flavobrunneum; Lepidopus caudatus; Promethichthys prometheus; Ruvettus pretiosus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elongate benthopelagic predators use single-species Trichiurus lepturus; broader taxonomy and often deep-water habitat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Trichiuridae; Trichiurus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elongate benthopelagic predators use single-species Trichiurus lepturus; broader taxonomy and often deep-water habitat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Aetomylaeus bovinus; Chimaeriformes; Glaucostegus cemiculus; Gymnura altavela; Gymnura micrura; Mobula birostris; Myliobatidae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Non-dasyatid rays and chimaeras use the source dasyatid pool; specialized morphology, feeding and sometimes pelagic/deep habitat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Myliobatis aquila; Pristidae; Raja; Raja brachyura; Raja clavata; Raja microocellata; Raja miraletus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Non-dasyatid rays and chimaeras use the source dasyatid pool; specialized morphology, feeding and sometimes pelagic/deep habitat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Raja undulata; Rhinobatidae; Rhinobatos; Rhinobatos rhinobatos; Rostroraja alba; Torpedo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Non-dasyatid rays and chimaeras use the source dasyatid pool; specialized morphology, feeding and sometimes pelagic/deep habitat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Calappa granulata; Chaceon affinis; Chaceon maritae; Eriphia verrucosa; Geryon; Homarus gammarus; Maja squinado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Non-portunid crabs and lobsters use the source portunid crab pool as a benthic decapod analogue; taxonomy, habitat and fishery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Nephropidae; Nephrops norvegicus; Palinuridae; Palinurus; Palinurus mauritanicus; Panulirus; Panulirus regius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Non-portunid crabs and lobsters use the source portunid crab pool as a benthic decapod analogue; taxonomy, habitat and fishery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Paromola cuvieri; Scyllaridae; Scyllarus arctus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Non-portunid crabs and lobsters use the source portunid crab pool as a benthic decapod analogue; taxonomy, habitat and fishery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Dendrobranchiata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Broad shrimp reporting composition is unknown and can include offshore/deep-water families absent from the estuarine source pool.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Holothuroidea; Lepas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Unlisted benthic invertebrates use macrobenthos as a bottom-fauna analogue; the exact taxonomic/source composition is unverified.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Marine pelagic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Unidentified pelagic-fish composition is unknown; a mixture of source pelagic/benthopelagic pools transfers the estuarine assemblage to offshore regional catch.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Decapoda; Malacostraca; Miscellaneous marine crustaceans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Broad crustacean composition is unknown and can include unrepresented lobsters/krill; a shrimp-and-portunid-crab mixture is assumed.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Aristaeomorpha foliacea; Aristaeopsis edwardsiana; Aristeidae; Aristeus antennatus; Aristeus varidens; Parapenaeus longirostris; Solenocera africana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offshore/deep-water shrimps use the estuarine shrimp pool; source taxonomic and habitat containment is unverified.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Solenocera membranacea; Solenoceridae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offshore/deep-water shrimps use the estuarine shrimp pool; source taxonomic and habitat containment is unverified.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Acanthuridae; Acanthurus; Acanthurus monroviae; Kyphosus sectatrix; Sarpa salpa; Scaridae; Sparisoma cretense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Unrepresented reef/coastal herbivores use the mullet pool as a feeding analogue; taxonomy and habitat differ.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Clupeidae; Clupeiformes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Broad clupeid or clupeiform composition is unknown across dedicated and pooled source compartments.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Haemulidae; Inermiidae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Broad fish-family composition is unknown across represented pools; unlisted members may have different ecological affinities.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Mollusca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Broad mollusc composition is unknown and includes unrepresented cephalopods; all catch is approximated by the source macrobenthos pool.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Miscellaneous aquatic invertebrates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Unidentified aquatic invertebrates use a biomass-weighted mixture of represented consumer pools; unrepresented components and reporting composition remain unknown.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Marine groundfishes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Groundfish composition is unknown among source bottom-associated pools; the estuarine assemblage is transferred to whole-LME reported groundfish.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Geographic evidence</ns0:t>
      </ns0:r>
    </ns0:p>
    <ns0:p>
      <ns0:r>
        <ns0:t>R is the Canary Current LME and S is the thesis Sine-Saloum estuary. The reported 546 km² gives an upper bound on A even under full containment. Figure 2.2 does not delimit the exact model water area, and its eastward channels conflict with the printed longitude strip; B remains uncertain.</ns0:t>
      </ns0:r>
    </ns0:p>
    <ns0:p>
      <ns0:pPr>
        <ns0:pStyle ns0:val="Heading2"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Target region boundary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</ns0:r>
            <ns0:r>
              <ns0:drawing>
                <ns3:inline>
                  <ns3:extent cx="5577840" cy="7099069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577840" cy="7099069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  <ns0:p>
            <ns0:hyperlink ns2:id="rId28">
              <ns0:r>
                <ns0:rPr>
                  <ns0:color ns0:val="0563C1"/>
                  <ns0:u ns0:val="single"/>
                  <ns0:sz ns0:val="21"/>
                </ns0:rPr>
                <ns0:t>Geographic assessment</ns0:t>
              </ns0:r>
            </ns0:hyperlink>
          </ns0:p>
        </ns0:tc>
      </ns0:tr>
    </ns0:tbl>
    <ns0:p>
      <ns0:r>
        <ns0:t>Canary Current LME_027, retained project LME geometry. The estuary is located near the southern end of this much larger marine region.</ns0:t>
      </ns0:r>
    </ns0:p>
    <ns0:p>
      <ns0:pPr>
        <ns0:pStyle ns0:val="Heading2"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Original thesis study area schematic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</ns0:r>
            <ns0:r>
              <ns0:drawing>
                <ns3:inline>
                  <ns3:extent cx="5577840" cy="4138397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thesis_Figure2_2.png"/>
                          <ns5:cNvPicPr/>
                        </ns5:nvPicPr>
                        <ns5:blipFill>
                          <ns4:blip ns2:embed="rId29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577840" cy="4138397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  <ns0:p>
            <ns0:hyperlink ns2:id="rId28">
              <ns0:r>
                <ns0:rPr>
                  <ns0:color ns0:val="0563C1"/>
                  <ns0:u ns0:val="single"/>
                  <ns0:sz ns0:val="21"/>
                </ns0:rPr>
                <ns0:t>Geographic assessment</ns0:t>
              </ns0:r>
            </ns0:hyperlink>
          </ns0:p>
        </ns0:tc>
      </ns0:tr>
    </ns0:tbl>
    <ns0:p>
      <ns0:r>
        <ns0:t>Villanueva thesis (2004), Figure 2.2, printed p. 18 / PDF p. 42: the original Sine-Saloum channel schematic. The frame is not a model boundary.</ns0:t>
      </ns0:r>
    </ns0:p>
    <ns0:p>
      <ns0:r/>
    </ns0:p>
    <ns0:sectPr ns0:rsidR="00FC693F" ns0:rsidRPr="0006063C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yperlink" Target="../../../../../LME_027.xlsx" TargetMode="External" /><ns0:Relationship Id="rId10" Type="http://schemas.openxmlformats.org/officeDocument/2006/relationships/hyperlink" Target="../../../../../raw/catch/LME_027.csv.gz" TargetMode="External" /><ns0:Relationship Id="rId11" Type="http://schemas.openxmlformats.org/officeDocument/2006/relationships/hyperlink" Target="../../../sources/Villanueva2004_thesis_29305.pdf#page=138" TargetMode="External" /><ns0:Relationship Id="rId12" Type="http://schemas.openxmlformats.org/officeDocument/2006/relationships/hyperlink" Target="../../../sources/metadata.json" TargetMode="External" /><ns0:Relationship Id="rId13" Type="http://schemas.openxmlformats.org/officeDocument/2006/relationships/hyperlink" Target="https://archimer.ifremer.fr/doc/00180/29122/" TargetMode="External" /><ns0:Relationship Id="rId14" Type="http://schemas.openxmlformats.org/officeDocument/2006/relationships/hyperlink" Target="../../../../LME027-Villanueva-2004/sources/010056023-adc18d15.pdf" TargetMode="External" /><ns0:Relationship Id="rId15" Type="http://schemas.openxmlformats.org/officeDocument/2006/relationships/hyperlink" Target="../extracted_tables/evidence/evidence/identity/Villanueva2005_2171.pdf" TargetMode="External" /><ns0:Relationship Id="rId16" Type="http://schemas.openxmlformats.org/officeDocument/2006/relationships/hyperlink" Target="." TargetMode="External" /><ns0:Relationship Id="rId17" Type="http://schemas.openxmlformats.org/officeDocument/2006/relationships/hyperlink" Target="../model_notes.md#removed-extraction-evidence" TargetMode="External" /><ns0:Relationship Id="rId18" Type="http://schemas.openxmlformats.org/officeDocument/2006/relationships/hyperlink" Target="../extracted_tables/evidence/evidence/identity/identity_review.json" TargetMode="External" /><ns0:Relationship Id="rId19" Type="http://schemas.openxmlformats.org/officeDocument/2006/relationships/hyperlink" Target="../extracted_tables/thesis/literal_source_extraction.json" TargetMode="External" /><ns0:Relationship Id="rId20" Type="http://schemas.openxmlformats.org/officeDocument/2006/relationships/hyperlink" Target="../extracted_tables/thesis/diet_identity_crosswalk.csv" TargetMode="External" /><ns0:Relationship Id="rId21" Type="http://schemas.openxmlformats.org/officeDocument/2006/relationships/hyperlink" Target="../extracted_tables/evidence/computational_inputs/ADMISSION.json" TargetMode="External" /><ns0:Relationship Id="rId22" Type="http://schemas.openxmlformats.org/officeDocument/2006/relationships/hyperlink" Target="../results/diagnostics/DIRECT_DIAGNOSTICS.md" TargetMode="External" /><ns0:Relationship Id="rId23" Type="http://schemas.openxmlformats.org/officeDocument/2006/relationships/hyperlink" Target="../../../../CAN-2009/models/27_118_Northwest_Africa_(1987)/model_validation/validation.docx" TargetMode="External" /><ns0:Relationship Id="rId24" Type="http://schemas.openxmlformats.org/officeDocument/2006/relationships/hyperlink" Target="taxon_mapping.xlsx" TargetMode="External" /><ns0:Relationship Id="rId25" Type="http://schemas.openxmlformats.org/officeDocument/2006/relationships/hyperlink" Target="../extracted_tables/evidence/mapping/taxon_mapping_audit.json" TargetMode="External" /><ns0:Relationship Id="rId26" Type="http://schemas.openxmlformats.org/officeDocument/2006/relationships/hyperlink" Target="../extracted_tables/evidence/mapping/allocation_evidence.json" TargetMode="External" /><ns0:Relationship Id="rId27" Type="http://schemas.openxmlformats.org/officeDocument/2006/relationships/image" Target="media/image1.png" /><ns0:Relationship Id="rId28" Type="http://schemas.openxmlformats.org/officeDocument/2006/relationships/hyperlink" Target="../extracted_tables/evidence/evidence/geography/geographic_assessment.json" TargetMode="External" /><ns0:Relationship Id="rId29" Type="http://schemas.openxmlformats.org/officeDocument/2006/relationships/image" Target="media/image2.png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Concise evidence summary for researcher review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