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t>Guinea Current model validation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  <ns0:keepNext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  <ns0:keepNext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Guinea Current, LME_028; Sea Around Us target boundary.</ns0:t>
            </ns0:r>
            <ns0:r>
              <ns0:t xml:space="preserve"> </ns0:t>
            </ns0:r>
            <ns0:hyperlink ns2:id="rId9">
              <ns0:r>
                <ns0:rPr>
                  <ns0:color ns0:val="0563C1"/>
                  <ns0:u ns0:val="single"/>
                </ns0:rPr>
                <ns0:t>Regional workbook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Sea Around Us v 50.1 catch series, 1950–2019; retained API 88 material dated 3 September 2026. Reference: 2019 landings, including reported/unreported retained catch; discards separate.</ns0:t>
            </ns0:r>
            <ns0:r>
              <ns0:t xml:space="preserve"> </ns0:t>
            </ns0:r>
            <ns0:hyperlink ns2:id="rId10">
              <ns0:r>
                <ns0:rPr>
                  <ns0:color ns0:val="0563C1"/>
                  <ns0:u ns0:val="single"/>
                </ns0:rPr>
                <ns0:t>Raw catch</ns0:t>
              </ns0:r>
            </ns0:hyperlink>
            <ns0:r>
              <ns0:t xml:space="preserve"> | </ns0:t>
            </ns0:r>
            <ns0:hyperlink ns2:id="rId11">
              <ns0:r>
                <ns0:rPr>
                  <ns0:color ns0:val="0563C1"/>
                  <ns0:u ns0:val="single"/>
                </ns0:rPr>
                <ns0:t>Taxon/TL source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Guénette &amp; Diallo (2004), Addendum: Modèles de la côte guinéenne, 1985 et 1998, pp.124–159. In Palomares &amp; Pauly (eds.), West African marine ecosystems: models and fisheries impacts, FCRR 12(7).</ns0:t>
            </ns0:r>
            <ns0:r>
              <ns0:t xml:space="preserve"> </ns0:t>
            </ns0:r>
            <ns0:hyperlink ns2:id="rId12">
              <ns0:r>
                <ns0:rPr>
                  <ns0:color ns0:val="0563C1"/>
                  <ns0:u ns0:val="single"/>
                </ns0:rPr>
                <ns0:t>Chapter PDF</ns0:t>
              </ns0:r>
            </ns0:hyperlink>
            <ns0:r>
              <ns0:t xml:space="preserve"> | </ns0:t>
            </ns0:r>
            <ns0:hyperlink ns2:id="rId13">
              <ns0:r>
                <ns0:rPr>
                  <ns0:color ns0:val="0563C1"/>
                  <ns0:u ns0:val="single"/>
                </ns0:rPr>
                <ns0:t>Paper folder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Gascuel, Guénette, Diallo &amp; Sidibé (2009), Impact de la pêche sur l’écosystème marin de Guinée – Modélisation EwE 1985/2005, FCRR 17(4), 60 printed pages. The title says 1985/2005; Ecopath construction and Table 3 specify 1985/2004.</ns0:t>
            </ns0:r>
            <ns0:r>
              <ns0:t xml:space="preserve"> </ns0:t>
            </ns0:r>
            <ns0:hyperlink ns2:id="rId14">
              <ns0:r>
                <ns0:rPr>
                  <ns0:color ns0:val="0563C1"/>
                  <ns0:u ns0:val="single"/>
                </ns0:rPr>
                <ns0:t>2009 report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28_646_Guinea_(1998); 1998, waters off the Republic of Guinea, 111,932 km². 44 ecological source groups plus synthetic diet_import 45. This is a national coastal/offshore model transferred to the full LME.</ns0:t>
            </ns0:r>
            <ns0:r>
              <ns0:t xml:space="preserve"> </ns0:t>
            </ns0:r>
            <ns0:hyperlink ns2:id="rId15">
              <ns0:r>
                <ns0:rPr>
                  <ns0:color ns0:val="0563C1"/>
                  <ns0:u ns0:val="single"/>
                </ns0:rPr>
                <ns0:t>Selected JSON</ns0:t>
              </ns0:r>
            </ns0:hyperlink>
            <ns0:r>
              <ns0:t xml:space="preserve"> | </ns0:t>
            </ns0:r>
            <ns0:hyperlink ns2:id="rId16">
              <ns0:r>
                <ns0:rPr>
                  <ns0:color ns0:val="0563C1"/>
                  <ns0:u ns0:val="single"/>
                </ns0:rPr>
                <ns0:t>Model folder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The chapter also presents a 44-group 1985 counterpart derived from balanced 1998, with reconstructed early catches. Stored 28_726_Guinea_(1985) is the distinct 35-group, 42,969 km² shelf revision in the 2009 report. Hash-suffixed copies are extraction identities, not extra baselines.</ns0:t>
            </ns0:r>
            <ns0:r>
              <ns0:t xml:space="preserve"> </ns0:t>
            </ns0:r>
            <ns0:hyperlink ns2:id="rId17">
              <ns0:r>
                <ns0:rPr>
                  <ns0:color ns0:val="0563C1"/>
                  <ns0:u ns0:val="single"/>
                </ns0:rPr>
                <ns0:t>Stored 1985 identity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Article: ? (separate article-choice rationale unrecorded). Model: recorded rationale is geographic transfer requiring overlap validation. The source supports preferring 1998 over 1985 because contemporary landing/biomass estimates were available; the earlier model has greater catch-reconstruction uncertainty.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Accepted canonical parameters retained. Native database JSON differs only in 44 added taxonomy descriptions. Table 9 (p.143/PDF 147) has 13 B/EE values outside strict printed-rounding bounds; PB/QB agree at displayed precision. Oiseaux TL 3.77 differs from accepted calculated 3.545. Coarse diets and reconstructed catch/discards remain limitations. Inherited diet normalization changes cells by at most 3.07×10⁻⁸; default GS, derived BA and import 45 remain accepted conventions.</ns0:t>
            </ns0:r>
            <ns0:r>
              <ns0:t xml:space="preserve"> </ns0:t>
            </ns0:r>
            <ns0:hyperlink ns2:id="rId18">
              <ns0:r>
                <ns0:rPr>
                  <ns0:color ns0:val="0563C1"/>
                  <ns0:u ns0:val="single"/>
                </ns0:rPr>
                <ns0:t>Source/runtime comparison</ns0:t>
              </ns0:r>
            </ns0:hyperlink>
            <ns0:r>
              <ns0:t xml:space="preserve"> | </ns0:t>
            </ns0:r>
            <ns0:hyperlink ns2:id="rId19">
              <ns0:r>
                <ns0:rPr>
                  <ns0:color ns0:val="0563C1"/>
                  <ns0:u ns0:val="single"/>
                </ns0:rPr>
                <ns0:t>Table9 differences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OK.</ns0:t>
            </ns0:r>
          </ns0:p>
          <ns0:p>
            <ns0:pPr>
              <ns0:spacing ns0:after="40" ns0:before="0" ns0:line="240" ns0:lineRule="auto"/>
            </ns0:pPr>
            <ns0:r>
              <ns0:t>No negative SPPR entries across the basal-source columns, including unfished groups.</ns0:t>
            </ns0:r>
          </ns0:p>
          <ns0:p>
            <ns0:pPr>
              <ns0:spacing ns0:after="40" ns0:before="0" ns0:line="240" ns0:lineRule="auto"/>
            </ns0:pPr>
            <ns0:r>
              <ns0:t>rho_living = 0.4497; b = 0.3548; Detritus (44) SPPR = 1.7792.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WARN: the deep large shark/ray pool has an extreme coefficient; saved annual TE results remain unavailable under the implausibility flags.</ns0:t>
            </ns0:r>
          </ns0:p>
          <ns0:p>
            <ns0:pPr>
              <ns0:spacing ns0:after="40" ns0:before="0" ns0:line="240" ns0:lineRule="auto"/>
            </ns0:pPr>
            <ns0:r>
              <ns0:t>No negative SPPR entries across the basal-source columns, including unfished groups.</ns0:t>
            </ns0:r>
          </ns0:p>
          <ns0:p>
            <ns0:pPr>
              <ns0:spacing ns0:after="40" ns0:before="0" ns0:line="240" ns0:lineRule="auto"/>
            </ns0:pPr>
            <ns0:r>
              <ns0:t>rho_living = 0.7176; Detritus (44) SPPR = 0.4259.</ns0:t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[MANUAL — Researcher: calculation choices and reasons]</ns0:t>
            </ns0:r>
          </ns0:p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[Excluded groups, scope and relevant values; other adjustments]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Approximate A: 5.0–7.0% of the region covered by the study. B: 95–100% of the study inside the region.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Static 1998 coefficients and historical mixture weights are applied across 1950–2019. The reference year is 21 years later; annual ecosystem/fleet changes are not reconstructed.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TE retains its implausibility warning: the deep large shark/ray pool has an extreme coefficient. Symbolic negative-source failures, Monte Carlo implausibility flags and unavailable source decompositions remain. Full catch mapping does not establish whole-LME ecological validity.</ns0:t>
            </ns0:r>
            <ns0:r>
              <ns0:t xml:space="preserve"> </ns0:t>
            </ns0:r>
            <ns0:hyperlink ns2:id="rId20">
              <ns0:r>
                <ns0:rPr>
                  <ns0:color ns0:val="0563C1"/>
                  <ns0:u ns0:val="single"/>
                </ns0:rPr>
                <ns0:t>Method-specific exposure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[Researcher: open issues and next actions]</ns0:t>
              <ns0:br/>
              <ns0:t/>
              <ns0:br/>
              <ns0:t/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Researcher name: [name] | review date: [date]</ns0:t>
              <ns0:br/>
              <ns0:t/>
              <ns0:br/>
              <ns0:t/>
              <ns0:br/>
              <ns0:t/>
            </ns0:r>
          </ns0:p>
        </ns0:tc>
      </ns0:tr>
    </ns0:tbl>
    <ns0:p>
      <ns0:pPr>
        <ns0:keepNext/>
        <ns0:pStyle ns0:val="Heading1"/>
      </ns0:pPr>
      <ns0:r>
        <ns0:t>Taxon mapping and coverage</ns0:t>
      </ns0:r>
    </ns0:p>
    <ns0:p>
      <ns0:pPr>
        <ns0:keepNext ns0:val="0"/>
        <ns0:pageBreakBefore ns0:val="0"/>
        <ns0:spacing ns0:after="120"/>
      </ns0:pPr>
      <ns0:r>
        <ns0:t>Reference: 2019 landings; all exact catch labels, including unidentified and zero-catch records; no taxon or group filter.</ns0:t>
      </ns0:r>
    </ns0:p>
    <ns0:p>
      <ns0:pPr>
        <ns0:keepNext ns0:val="0"/>
        <ns0:pageBreakBefore ns0:val="0"/>
        <ns0:spacing ns0:after="120"/>
      </ns0:pPr>
      <ns0:r>
        <ns0:t>44 source ecological groups (+1 computational import); 375 catch labels.</ns0:t>
      </ns0:r>
    </ns0:p>
    <ns0:p>
      <ns0:pPr>
        <ns0:keepNext ns0:val="0"/>
        <ns0:pageBreakBefore ns0:val="0"/>
        <ns0:spacing ns0:after="120"/>
      </ns0:pPr>
      <ns0:r>
        <ns0:t>Simple-chain PPR totals 202,194,055.86 t C in 2019.</ns0:t>
      </ns0:r>
    </ns0:p>
    <ns0:p>
      <ns0:pPr>
        <ns0:keepNext ns0:val="0"/>
        <ns0:pageBreakBefore ns0:val="0"/>
        <ns0:spacing ns0:after="120"/>
      </ns0:pPr>
      <ns0:r>
        <ns0:t>50 labels lack a saved classic coefficient/TL; all have zero 2019 landings and therefore zero annual PPR. Unavailable TL remains ?, not zero.</ns0:t>
      </ns0:r>
    </ns0:p>
    <ns0:p>
      <ns0:pPr>
        <ns0:keepNext ns0:val="0"/>
        <ns0:pageBreakBefore ns0:val="0"/>
        <ns0:spacing ns0:after="120"/>
      </ns0:pPr>
      <ns0:r>
        <ns0:t>Method: independent classic/simple trophic chain using the saved taxon coefficient.</ns0:t>
      </ns0:r>
    </ns0:p>
    <ns0:p>
      <ns0:pPr>
        <ns0:keepNext ns0:val="0"/>
        <ns0:pageBreakBefore ns0:val="0"/>
        <ns0:spacing ns0:after="120"/>
      </ns0:pPr>
      <ns0:hyperlink ns2:id="rId21">
        <ns0:r>
          <ns0:rPr>
            <ns0:color ns0:val="0563C1"/>
            <ns0:u ns0:val="single"/>
          </ns0:rPr>
          <ns0:t>Full taxon mapping appendix</ns0:t>
        </ns0:r>
      </ns0:hyperlink>
      <ns0:r>
        <ns0:t xml:space="preserve"> and </ns0:t>
      </ns0:r>
      <ns0:hyperlink ns2:id="rId22">
        <ns0:r>
          <ns0:rPr>
            <ns0:color ns0:val="0563C1"/>
            <ns0:u ns0:val="single"/>
          </ns0:rPr>
          <ns0:t>descriptive Sources sheet</ns0:t>
        </ns0:r>
      </ns0:hyperlink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tblHeader/>
          <ns0:cantSplit/>
          <ns0:tblHeader/>
          <ns0:cantSplit/>
        </ns0:trPr>
        <ns0:tc>
          <ns0:tcPr>
            <ns0:tcW ns0:type="dxa" ns0:w="3888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keepNext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Overall confidence</ns0:t>
            </ns0:r>
          </ns0:p>
        </ns0:tc>
        <ns0:tc>
          <ns0:tcPr>
            <ns0:tcW ns0:type="dxa" ns0:w="1440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  <ns0:keepNext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Taxa (n)</ns0:t>
            </ns0:r>
          </ns0:p>
        </ns0:tc>
        <ns0:tc>
          <ns0:tcPr>
            <ns0:tcW ns0:type="dxa" ns0:w="230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  <ns0:keepNext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Catch (%)</ns0:t>
            </ns0:r>
          </ns0:p>
        </ns0:tc>
        <ns0:tc>
          <ns0:tcPr>
            <ns0:tcW ns0:type="dxa" ns0:w="2376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  <ns0:keepNext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Simple-chain PPR (%)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High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159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37%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51%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Medium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107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17%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24%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Low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32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7.0%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9.3%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Very low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77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38%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16%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Unresolved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>Overall confidence uses the weaker required membership or allocation component.</ns0:t>
      </ns0:r>
    </ns0:p>
    <ns0:p>
      <ns0:pPr>
        <ns0:keepNext/>
        <ns0:pStyle ns0:val="Heading2"/>
      </ns0:pPr>
      <ns0:r>
        <ns0:t>Group assignment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keepNext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  <ns0:keepNext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  <ns0:keepNext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Exact source member in every documented applicable group.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49%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Complete actual source representative union supports a higher label or stage mixture; local composition inferred.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Broad reporting category approximated over compatible named and residual source pools; caught composition unknown.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15%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Taxonomic extension from source congeneric representatives; unlisted membership assumed.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3.0%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Verified taxon fits the explicit source compartment without a competing specific placement.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1.3%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Closest positive taxonomic or habitat analogue; unrepresented habitat, size or taxon mismatch disclosed.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0.60%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Verified accepted synonym connects the catch label to a printed member.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0.41%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Membership evidence: </ns0:t>
      </ns0:r>
      <ns0:hyperlink ns2:id="rId23">
        <ns0:r>
          <ns0:rPr>
            <ns0:color ns0:val="0563C1"/>
            <ns0:u ns0:val="single"/>
          </ns0:rPr>
          <ns0:t>source members, taxonomy and complete candidate decisions</ns0:t>
        </ns0:r>
      </ns0:hyperlink>
      <ns0:r>
        <ns0:t xml:space="preserve"> Broad bony fish includes named stocks and deep/pelagic members; dedicated cartilage groups are excluded. Elasmobranchii excludes chimaeras. Broad invertebrate sets review actual euphausiids, benthos and larval stages.</ns0:t>
      </ns0:r>
      <ns0:r>
        <ns0:t xml:space="preserve"> Scaridae denotes the historical parrotfish family, now Scarinae within Labridae; the genus-misspelling homonym is excluded. </ns0:t>
      </ns0:r>
      <ns0:hyperlink ns2:id="rIdScaridaeRankBridge">
        <ns0:r>
          <ns0:rPr>
            <ns0:color ns0:val="0563C1"/>
            <ns0:u ns0:val="single"/>
          </ns0:rPr>
          <ns0:t>Scaridae rank bridge</ns0:t>
        </ns0:r>
      </ns0:hyperlink>
    </ns0:p>
    <ns0:p>
      <ns0:pPr>
        <ns0:keepNext/>
        <ns0:pStyle ns0:val="Heading2"/>
      </ns0:pPr>
      <ns0:r>
        <ns0:t>Allocation weight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keepNext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  <ns0:keepNext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  <ns0:keepNext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One reviewed group; no numerical split.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75%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Complete accepted 1998 group-export catch proportions; historical mixture/catchability assumed.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16%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Retained whole-period single-group donor total-catch proxy; reporting/population mismatch assessed separately.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9.5%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All 71 split labels retain explicit assumptions: 37 use complete 1998 model catch proportions; 34 retain historical donor total-catch weights at Low confidence. These mixtures are transferred across 1950–2019 and catch bases. </ns0:t>
      </ns0:r>
      <ns0:hyperlink ns2:id="rId24">
        <ns0:r>
          <ns0:rPr>
            <ns0:color ns0:val="0563C1"/>
            <ns0:u ns0:val="single"/>
          </ns0:rPr>
          <ns0:t>Allocation and donor applicability evidence</ns0:t>
        </ns0:r>
      </ns0:hyperlink>
    </ns0:p>
    <ns0:p>
      <ns0:pPr/>
      <ns0:r>
        <ns0:t>Each rule percentage is the share of independent simple-chain PPR associated with taxa using that rule.</ns0:t>
      </ns0:r>
    </ns0:p>
    <ns0:p>
      <ns0:pPr>
        <ns0:keepNext ns0:val="0"/>
        <ns0:pageBreakBefore ns0:val="0"/>
        <ns0:spacing ns0:after="120"/>
      </ns0:pPr>
      <ns0:r>
        <ns0:t>No unresolved taxa remain. The 77 Very low decisions cover 38.4107% of landings and 15.6210% of simple-chain PPR; the table below identifies the source-definition, composition and analogue uncertainties.</ns0:t>
      </ns0:r>
    </ns0:p>
    <ns0:p>
      <ns0:pPr>
        <ns0:pStyle ns0:val="Heading2"/>
      </ns0:pPr>
      <ns0:r>
        <ns0:t>Very low decisions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3298"/>
        <ns0:gridCol ns0:w="6710"/>
      </ns0:tblGrid>
      <ns0:tr>
        <ns0:trPr>
          <ns0:cantSplit/>
          <ns0:tblHeader/>
        </ns0:trPr>
        <ns0:tc>
          <ns0:tcPr>
            <ns0:tcW ns0:type="dxa" ns0:w="3298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  <ns0:keepNext/>
            </ns0:pPr>
            <ns0:r>
              <ns0:rPr>
                <ns0:rFonts ns0:ascii="Calibri" ns0:hAnsi="Calibri"/>
                <ns0:b/>
                <ns0:sz ns0:val="21"/>
              </ns0:rPr>
              <ns0:t>Affected taxa</ns0:t>
            </ns0:r>
          </ns0:p>
        </ns0:tc>
        <ns0:tc>
          <ns0:tcPr>
            <ns0:tcW ns0:type="dxa" ns0:w="6710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  <ns0:keepNext/>
            </ns0:pPr>
            <ns0:r>
              <ns0:rPr>
                <ns0:rFonts ns0:ascii="Calibri" ns0:hAnsi="Calibri"/>
                <ns0:b/>
                <ns0:sz ns0:val="21"/>
              </ns0:rPr>
              <ns0:t>Why confidence is very low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Actinopterygii; Marine finfishes not identified; Marine fishes not identified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All 29 bony-fish pools include named stocks, pelagic and deep guilds; dedicated cartilage pools are excluded. Actual caught composition is unknown. Complete 1998 model catch proportions are a whole-guild proxy transferred across 1950–2019 and catch bases.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Scombroidei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Historical reporting boundaries span named and residual source fishes but differ from modern taxonomy. The actual species mixture is unknown. The source-member union and complete 1998 group catch proportions are assumptions transferred across years and bases.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Alepisaurus ferox; Aphanopus intermedius; Berycidae; Beryx; Beryx decadactylus; Beryx splendens; Brama brama; Bramidae; Gephyroberyx darwinii; Guentherus altivela; Lampris guttatus; Promethichthys prometheus; Ruvettus pretiosus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Deep-water fish are weak predatory, habitat or family analogues of the source Gempylus, Lepidocybium or other bathy members. Exact placement and size/depth boundaries remain unverified; mixed diets and pelagic overlap weaken the pooled pathway. Lampris also has an uncertain local role.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Apsilus fuscus; Brotula barbata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The snapper and brotula are weak shelf-predator analogues. Apsilus is not established by the source coastal Lutjanus members; Brotula also overlaps deeper and crustacean-feeding compartments.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Batoidea; Chondrichthyes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The four shark/ray pools lack observed species, size and habitat composition. Chondrichthyes additionally includes chimaeras absent from the source. Historical donor catch proportions mix guild members and reporting populations; they do not establish residual composition and are transferred across years/bases.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Perciformes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Historical reporting boundaries span named and residual source fishes but differ from modern taxonomy. The actual species mixture is unknown. The source-member union and complete 1998 group catch proportions are assumptions transferred across years and bases.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Aetobatus narinari; Carcharias taurus; Carcharodon carcharias; Galeorhinus galeus; Ginglymostoma cirratum; Glaucostegus cemiculus; Pristidae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Large coastal sharks/rays are weak size, habitat or family analogues of source coastal elasmobranch members. These taxa are not explicitly listed, and compartment limits are incompletely verified; white-shark regional representativeness is also unverified.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Marine pelagic fishes not identified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Source pelagic members include named tuna/billfish, clupeids and mixed shelf/bathy guilds. Their proportions within this reporting label are unknown; whole-pool 1998 catch weights transfer an assumed mixture across years/bases.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Lithognathus mormyrus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The sea bream is a weak coastal benthic-invertebrate-feeder analogue; source membership and the precise feeding/size boundary remain unverified.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Elagatis bipinnulata; Tylosurus crocodilus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These large pelagic fishes are weak feeding/habitat analogues of source Alectis/Coryphaena or Ablennes. Exact source membership and size/habitat limits are unverified.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Branchiostegus; Lagocephalus laevigatus; Parapristipoma octolineatum; Spondyliosoma cantharus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Shelf benthic feeders are weak analogues of source members such as Balistes, Plectorhinchus, Pagellus and Boops. No explicit placement is documented; the puffer overlaps pelagic/benthic guilds and source puffers span several compartments.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Sarotherodon galilaeus; Sarotherodon melanotheron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Tilapia plant/detritus feeding links weakly to source Liza/Mugil and Acanthurus/Sarpa. These are not mullets or source members; freshwater/brackish or lagoon habitats are transferred to marine pathways without a freshwater compartment.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Bathygobius soporator; Gobiidae; Solea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Gobies and soles are weak shallow benthic-feeder analogues of the source coastal guild. No explicit goby compartment exists; Solea species/depth composition is unknown. The provider large-reef bin does not establish Bathygobius placement.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Miscellaneous marine crustaceans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Actual source invertebrates include benthic taxa, euphausiids and unspecified larvae. Provider bins do not prove adult-only composition. Larval taxonomy and caught-stage composition are unobserved; source whole-pool catch weights are fixed across years/bases.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Scorpaeniformes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Source scorpionfish, gurnard and flying-gurnard members span coastal, shelf and bathy groups. Legacy order boundaries and unidentified caught composition remain uncertain; 1998 whole-group catch weights transfer the mixed pathways across years/bases.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Centrophorus; Centrophorus granulosus; Centrophorus lusitanicus; Centrophorus squamosus; Centroscymnus coelolepis; Centroselachus crepidater; Cetorhinus maximus; Dalatias licha; Deania calceus; Echinorhinus brucus; Hexanchus griseus; Rostroraja alba; Scymnodon ringens; Somniosus rostratus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These are weak size, depth or family analogues of source large deep elasmobranchs; exact membership and size cutoffs are unverified. Basking shark follows the named whale-shark analogue despite pelagic filter feeding; skate catch depths and some local geographic fits remain uncertain.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Centrolophidae; Peristediidae; Schedophilus ovalis; Schedophilus pemarco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Barrelfishes and armoured gurnards are weak benthopelagic-feeder analogues of source Ariomma or Trigla. Heterogeneous diets, uncertain local feeding and shelf/slope overlap leave source-specific placement unresolved.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Pellonula leonensis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Pellonula provides a weak small coastal-pelagic feeding analogue, but river/lagoon and brackish occurrence complicate transfer. Marine catch does not establish a shared freshwater food web or documented source membership.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Pseudocaranx dentex; Uraspis secunda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Trevally/jack are weak analogues of source Caranx/Trachinotus. Offshore habitat overlap and incomplete source guild boundaries prevent stronger membership confidence.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Holocentrus adscensionis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The reef squirrelfish is a weak nocturnal invertebrate-feeding analogue of source Sargocentron; exact membership and the small/medium compartment boundary are unverified.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Tetrapturus pfluegeri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The spearfish is linked to the source billfish members in Thons majeurs, but is not a printed member; source-specific placement remains a weak analogue.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Dicentrarchus; Dicentrarchus punctatus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Sea bass are weak coastal/estuarine piscivore analogues. They are not source-listed and cannot be assigned literally to Bars, which denotes Pseudotolithus; exact guild boundaries remain uncertain.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Miscellaneous aquatic invertebrates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Actual source invertebrates include benthic taxa, euphausiids and unspecified larvae. Provider bins do not prove adult-only composition. Larval taxonomy and caught-stage composition are unobserved; source whole-pool catch weights are fixed across years/bases.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Centroscyllium fabricii; Oxynotus centrina; Scyliorhinidae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Small/medium deep sharks are weak analogues of source Etmopterus/Galeus. Family depth composition and group size boundaries remain uncertain; documented Sierra Leone occurrence prevents excluding Centroscyllium merely by geography.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Chimaeriformes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Chimaeras are absent from the source inventory and belong to Holocephali rather than sharks/rays. Deep cartilaginous pools are a weak depth/body-form analogue; coastal and bony alternatives fit less closely. Source catch proportions fix an unobserved mixture across years and bases.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Cyprinidae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Freshwater carp/barbel bottom-feeding, omnivory and detritivory provide a weak link to shallow Mulets and coastal invertebrate feeders. The marine model has no freshwater compartment or measured family composition; source catch weights transfer those pathways across all years/bases.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Inermiidae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Bonnetmouth schooling and plankton feeding connect to the small pelagic guilds, but Western Atlantic identity and absence of a printed member weaken regional transfer. Model catch weights assume an unobserved coastal/offshore mixture across years and bases.</ns0:t>
            </ns0:r>
          </ns0:p>
        </ns0:tc>
      </ns0:tr>
      <ns0:tr>
        <ns0:trPr>
          <ns0:cantSplit/>
        </ns0:trPr>
        <ns0:tc>
          <ns0:tcPr>
            <ns0:tcW ns0:type="dxa" ns0:w="3298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Pentheroscion mbizi</ns0:t>
            </ns0:r>
          </ns0:p>
        </ns0:tc>
        <ns0:tc>
          <ns0:tcPr>
            <ns0:tcW ns0:type="dxa" ns0:w="6710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rFonts ns0:ascii="Calibri" ns0:hAnsi="Calibri"/>
                <ns0:sz ns0:val="21"/>
              </ns0:rPr>
              <ns0:t>The shelf croaker has a weak source medium-predator habitat connection, supported by 80–200 m occurrence and fish/shrimp feeding. Exact membership and pooled diet fit remain uncertain.</ns0:t>
            </ns0:r>
          </ns0:p>
        </ns0:tc>
      </ns0:tr>
    </ns0:tbl>
    <ns0:p>
      <ns0:r>
        <ns0:t xml:space="preserve">The excluded TE arithmetic is 4.5717 billion t C: Elasmobranchii contributes 23.6895%, Prionace glauca 13.2955% and Sphyrna zygaena 10.0636%. Explicit shark membership is retained; the extreme pooled coefficient and Low donor mixture make TE scientifically implausible. </ns0:t>
      </ns0:r>
      <ns0:hyperlink ns2:id="rId20">
        <ns0:r>
          <ns0:rPr>
            <ns0:color ns0:val="0563C1"/>
            <ns0:u ns0:val="single"/>
          </ns0:rPr>
          <ns0:t>Actual method contributions</ns0:t>
        </ns0:r>
      </ns0:hyperlink>
    </ns0:p>
    <ns0:p>
      <ns0:pPr>
        <ns0:keepNext/>
        <ns0:pStyle ns0:val="Heading1"/>
        <ns0:pageBreakBefore/>
      </ns0:pPr>
      <ns0:r>
        <ns0:t>Geographic evidence screenshots</ns0:t>
      </ns0:r>
    </ns0:p>
    <ns0:p>
      <ns0:pPr>
        <ns0:spacing ns0:after="40" ns0:before="0" ns0:line="240" ns0:lineRule="auto"/>
      </ns0:pPr>
      <ns0:r>
        <ns0:t>R is the full Guinea Current LME; S is the study waters off Guinea. The graticule trace and ordered coastline approximate the original figure. Nine source-visible water controls test both sides of the maritime limits and coastal water; these ranges are not statistical intervals.</ns0:t>
      </ns0:r>
    </ns0:p>
    <ns0:p>
      <ns0:pPr>
        <ns0:pStyle ns0:val="Heading2"/>
        <ns0:keepNext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  <ns0:keepNext/>
            </ns0:pPr>
            <ns0:r>
              <ns0:t>Guinea Current target region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/>
            <ns0:r>
              <ns0:drawing>
                <ns3:inline>
                  <ns3:extent cx="4572000" cy="3632548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arget_region.png"/>
                          <ns5:cNvPicPr/>
                        </ns5:nvPicPr>
                        <ns5:blipFill>
                          <ns4:blip ns2:embed="rId25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0" cy="3632548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Sea Around Us LME 28 target R: 1,918,762 km². </ns0:t>
      </ns0:r>
      <ns0:r>
        <ns0:t xml:space="preserve"> </ns0:t>
      </ns0:r>
      <ns0:hyperlink ns2:id="rId27">
        <ns0:r>
          <ns0:rPr>
            <ns0:color ns0:val="0563C1"/>
            <ns0:u ns0:val="single"/>
          </ns0:rPr>
          <ns0:t>Target boundary</ns0:t>
        </ns0:r>
      </ns0:hyperlink>
      <ns0:r>
        <ns0:t xml:space="preserve"> | </ns0:t>
      </ns0:r>
      <ns0:hyperlink ns2:id="rId28">
        <ns0:r>
          <ns0:rPr>
            <ns0:color ns0:val="0563C1"/>
            <ns0:u ns0:val="single"/>
          </ns0:rPr>
          <ns0:t>Map image</ns0:t>
        </ns0:r>
      </ns0:hyperlink>
    </ns0:p>
    <ns0:p>
      <ns0:pPr>
        <ns0:pStyle ns0:val="Heading2"/>
        <ns0:keepNext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  <ns0:keepNext/>
            </ns0:pPr>
            <ns0:r>
              <ns0:t>Original Guinea study area Figure 1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/>
            <ns0:r>
              <ns0:drawing>
                <ns3:inline>
                  <ns3:extent cx="4297680" cy="4261565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original_figure1_crop.png"/>
                          <ns5:cNvPicPr/>
                        </ns5:nvPicPr>
                        <ns5:blipFill>
                          <ns4:blip ns2:embed="rId26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297680" cy="4261565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Guénette &amp; Diallo 2004 Figure 1, printedp.124/PDF 128. The model covers waters off the Republic of Guinea; the LME continues far beyond the study. Source-reported area is 111,932 km². </ns0:t>
      </ns0:r>
      <ns0:r>
        <ns0:t xml:space="preserve"> </ns0:t>
      </ns0:r>
      <ns0:hyperlink ns2:id="rId12">
        <ns0:r>
          <ns0:rPr>
            <ns0:color ns0:val="0563C1"/>
            <ns0:u ns0:val="single"/>
          </ns0:rPr>
          <ns0:t>Original source</ns0:t>
        </ns0:r>
      </ns0:hyperlink>
      <ns0:r>
        <ns0:t xml:space="preserve"> | </ns0:t>
      </ns0:r>
      <ns0:hyperlink ns2:id="rId29">
        <ns0:r>
          <ns0:rPr>
            <ns0:color ns0:val="0563C1"/>
            <ns0:u ns0:val="single"/>
          </ns0:rPr>
          <ns0:t>Geographic assessment</ns0:t>
        </ns0:r>
      </ns0:hyperlink>
    </ns0:p>
    <ns0:p>
      <ns0:pPr>
        <ns0:pageBreakBefore/>
        <ns0:spacing ns0:after="40" ns0:before="0" ns0:line="240" ns0:lineRule="auto"/>
      </ns0:pPr>
      <ns0:r>
        <ns0:t xml:space="preserve">Approximate source-boundary comparison: reconstructed marine area 109,016 km², A≈5.64%, B≈99.28%; coarse report ranges 5–7% and 95–100% reflect line/coast uncertainty. The calibrated western corner and two real boundary bends follow the printed outline; markers/annotations were not water exclusions. </ns0:t>
      </ns0:r>
      <ns0:hyperlink ns2:id="rId30">
        <ns0:r>
          <ns0:rPr>
            <ns0:color ns0:val="0563C1"/>
            <ns0:u ns0:val="single"/>
          </ns0:rPr>
          <ns0:t>Reconstructed polygon</ns0:t>
        </ns0:r>
      </ns0:hyperlink>
      <ns0:r>
        <ns0:br/>
      </ns0:r>
      <ns0:r>
        <ns0:drawing>
          <ns3:inline>
            <ns3:extent cx="4389120" cy="3487246"/>
            <ns3:docPr id="3" name="Picture 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comparison.png"/>
                    <ns5:cNvPicPr/>
                  </ns5:nvPicPr>
                  <ns5:blipFill>
                    <ns4:blip ns2:embed="rId31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389120" cy="3487246"/>
                    </ns4:xfrm>
                    <ns4:prstGeom prst="rect"/>
                  </ns5:spPr>
                </ns5:pic>
              </ns4:graphicData>
            </ns4:graphic>
          </ns3:inline>
        </ns0:drawing>
      </ns0:r>
    </ns0:p>
    <ns0:sectPr ns0:rsidR="00FC693F" ns0:rsidRPr="0006063C" ns0:rsidSect="00034616">
      <ns0:type ns0:val="nextPage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Validation1" Type="http://schemas.openxmlformats.org/officeDocument/2006/relationships/hyperlink" Target="[Excel_appendix.xlsx]" TargetMode="External" /><ns0:Relationship Id="rId9" Type="http://schemas.openxmlformats.org/officeDocument/2006/relationships/hyperlink" Target="../../../../../LME_028.xlsx" TargetMode="External" /><ns0:Relationship Id="rId10" Type="http://schemas.openxmlformats.org/officeDocument/2006/relationships/hyperlink" Target="../../../../../raw/catch/LME_028-catch.zip" TargetMode="External" /><ns0:Relationship Id="rId11" Type="http://schemas.openxmlformats.org/officeDocument/2006/relationships/hyperlink" Target="../../../../../raw/catch/LME_028-exploited.json" TargetMode="External" /><ns0:Relationship Id="rId12" Type="http://schemas.openxmlformats.org/officeDocument/2006/relationships/hyperlink" Target="../../../sources/Palomares-et-al-west-africa-ecosystems-bd6604d6.pdf#page=128" TargetMode="External" /><ns0:Relationship Id="rId13" Type="http://schemas.openxmlformats.org/officeDocument/2006/relationships/hyperlink" Target="../../.." TargetMode="External" /><ns0:Relationship Id="rId14" Type="http://schemas.openxmlformats.org/officeDocument/2006/relationships/hyperlink" Target="../../../../LME028-Gascuel-2009/sources/3506-cb3ad007.pdf" TargetMode="External" /><ns0:Relationship Id="rId15" Type="http://schemas.openxmlformats.org/officeDocument/2006/relationships/hyperlink" Target="../model.json" TargetMode="External" /><ns0:Relationship Id="rId16" Type="http://schemas.openxmlformats.org/officeDocument/2006/relationships/hyperlink" Target=".." TargetMode="External" /><ns0:Relationship Id="rId17" Type="http://schemas.openxmlformats.org/officeDocument/2006/relationships/hyperlink" Target="evidence/source_review/alternative_1985_source_identity.json" TargetMode="External" /><ns0:Relationship Id="rId18" Type="http://schemas.openxmlformats.org/officeDocument/2006/relationships/hyperlink" Target="evidence/source_review/source_review.md" TargetMode="External" /><ns0:Relationship Id="rId19" Type="http://schemas.openxmlformats.org/officeDocument/2006/relationships/hyperlink" Target="evidence/source_review/source_parameter_differences.json" TargetMode="External" /><ns0:Relationship Id="rId20" Type="http://schemas.openxmlformats.org/officeDocument/2006/relationships/hyperlink" Target="evidence/source_review/method_contribution_exposure.json" TargetMode="External" /><ns0:Relationship Id="rId21" Type="http://schemas.openxmlformats.org/officeDocument/2006/relationships/hyperlink" Target="taxon_mapping.xlsx" TargetMode="External" /><ns0:Relationship Id="rId22" Type="http://schemas.openxmlformats.org/officeDocument/2006/relationships/hyperlink" Target="taxon_mapping.xlsx#Sources%21A1" TargetMode="External" /><ns0:Relationship Id="rId23" Type="http://schemas.openxmlformats.org/officeDocument/2006/relationships/hyperlink" Target="evidence/source_review/taxon_audit.json" TargetMode="External" /><ns0:Relationship Id="rId24" Type="http://schemas.openxmlformats.org/officeDocument/2006/relationships/hyperlink" Target="evidence/source_review/allocation_evidence.json" TargetMode="External" /><ns0:Relationship Id="rId25" Type="http://schemas.openxmlformats.org/officeDocument/2006/relationships/image" Target="media/image1.png" /><ns0:Relationship Id="rId26" Type="http://schemas.openxmlformats.org/officeDocument/2006/relationships/image" Target="media/image2.png" /><ns0:Relationship Id="rId27" Type="http://schemas.openxmlformats.org/officeDocument/2006/relationships/hyperlink" Target="evidence/source_review/geography/target_region.geojson" TargetMode="External" /><ns0:Relationship Id="rId28" Type="http://schemas.openxmlformats.org/officeDocument/2006/relationships/hyperlink" Target="evidence/source_review/geography/target_region.png" TargetMode="External" /><ns0:Relationship Id="rId29" Type="http://schemas.openxmlformats.org/officeDocument/2006/relationships/hyperlink" Target="evidence/source_review/geography/geographic_assessment.json" TargetMode="External" /><ns0:Relationship Id="rId30" Type="http://schemas.openxmlformats.org/officeDocument/2006/relationships/hyperlink" Target="evidence/source_review/geography/study_area_reconstructed.geojson" TargetMode="External" /><ns0:Relationship Id="rId31" Type="http://schemas.openxmlformats.org/officeDocument/2006/relationships/image" Target="media/image3.png" /><ns0:Relationship Id="rIdScaridaeRankBridge" Type="http://schemas.openxmlformats.org/officeDocument/2006/relationships/hyperlink" Target="evidence/source_review/taxonomy_rank_followup/primary_authority_verification.json" TargetMode="External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