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Gulf of Thailand, LME_035; source 10–50 m shelf applied across the whole LME.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v 50.1, local 1950–2019 catch; reference 2019 landings. All 247 exact taxon labels, including zero catch and unidentified categories.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Christensen, V.(1998). Fishery-induced changes in a marine ecosystem: insight from models of the Gulf of Thailand. Journal of Fish Biology 53(Suppl. A):128–142. Author full HTML read; original PDF unavailable.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Author full text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Retained source facts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Pauly &amp; Christensen(1993), Stratified models of large marine ecosystems: application to the South China Sea — acknowledged 10–50 m Gulf predecessor. Vibunpant et al.(2003), Trophic model of the coastal fisheries ecosystem in the Gulf of Thailand — separate 40-group 1973 model. Premcharoen(2012), Mae Klong estuary — subregional alternative.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1993 predecessor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1973 source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Estuary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35_412_Gulf_of_Thailande_(1963); scientific payload 1980 despite inherited 1963 filename. EcoBase 412 description and all 11 TableII biomass comparisons identify 1980.29 source ecological groups(+1 computational import);10–50 m shelf.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Canonical model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Identity evidence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compares 1963 and 1980 baselines. Selected canonical file contains 1980; a separate verified complete 1963 parameter/diet set is not supplied.1993 predecessor and 1973 candidate have different group structures.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— ?</w:t>
              <w:br/>
              <w:t>Model — Retained selected EcoBase 412 payload; independent identity evidence establishes 1980. Whole-LME/year application remains provisional; scientific approval is not established by finite coefficients.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Available source identity, habitat, illustrative membership and 11 biomasses were checked. Complete published B/PB/QB/EE/diet inputs are unavailable. Accepted canonical export, BA, diet, routing and runtime settings are retained; exact loaded groups agree. Zero juvenile exports are canonical values, not observed regional stage catches.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Source limitations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Loaded proof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source SPPR entries; WARN retained. rho_living=0.24000000; b=0.27122037; Detritus(29) SPPR=2.58019597.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source SPPR entries; WARN retained. rho_living=0.61423859; Detritus(29) SPPR=0.66004967.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A. Focal 10–50 m study fraction: unavailable from the accessible source geometry.</w:t>
              <w:br/>
              <w:t>B. Focal study fraction within LME: unavailable.</w:t>
              <w:br/>
              <w:t>Context only: bounded 0–50 m lineage trace A≈26.5%, B≈91%; reported larger shallowband/target≈38.7%. These do not establish focal coverage.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1980 coefficients and fixed composition/stage proxies apply across 1950–2019 whole-LME catches; reference 2019 is 39 years later. Source shelf and reporting-population differences are not reconstructed annual ecosystem dynamics.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GE, TE and With Egestion remain WARN. TE repairs consumed-production routing for twoEE 0 groups (marine mammals, jellyfish) under accepted runtime settings. All 270 direct source entries are finite/nonnegative, including unfished groups; six symbolic methods remain failed. Source fidelity and spatial/temporal application limits remain.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Full diagnostics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Reference:2019 landings; all exact taxon labels, including zero catch and unidentified categories; no group filter.</w:t>
      </w:r>
    </w:p>
    <w:p>
      <w:pPr>
        <w:keepNext w:val="0"/>
        <w:pageBreakBefore w:val="0"/>
        <w:spacing w:after="120"/>
      </w:pPr>
      <w:r>
        <w:t>29 source ecological groups(+1 computational import);247 catch taxa.</w:t>
      </w:r>
    </w:p>
    <w:p>
      <w:pPr>
        <w:keepNext w:val="0"/>
        <w:pageBreakBefore w:val="0"/>
        <w:spacing w:after="120"/>
      </w:pPr>
      <w:r>
        <w:t>Simple-chain PPR totals 192,544,832.38 t C in 2019.</w:t>
      </w:r>
    </w:p>
    <w:p>
      <w:pPr>
        <w:keepNext w:val="0"/>
        <w:pageBreakBefore w:val="0"/>
        <w:spacing w:after="120"/>
      </w:pPr>
      <w:r>
        <w:t>33 labels lack an assigned classic coefficient; all have zero 2019 landings and zero annual PPR. Missing TL/coefficient stays ?, without an invented value.</w:t>
      </w:r>
    </w:p>
    <w:p>
      <w:pPr>
        <w:keepNext w:val="0"/>
        <w:pageBreakBefore w:val="0"/>
        <w:spacing w:after="120"/>
      </w:pPr>
      <w:r>
        <w:t>Method: independent simple trophic chain using protected taxon coefficients; carbon conversion/9 once.</w:t>
      </w:r>
    </w:p>
    <w:p>
      <w:pPr>
        <w:keepNext w:val="0"/>
        <w:pageBreakBefore w:val="0"/>
        <w:spacing w:after="120"/>
      </w:pPr>
      <w:hyperlink r:id="rId21">
        <w:r>
          <w:rPr>
            <w:color w:val="0563C1"/>
            <w:u w:val="single"/>
          </w:rPr>
          <w:t>All taxon mappings</w:t>
        </w:r>
      </w:hyperlink>
      <w:r>
        <w:t xml:space="preserve"> and </w:t>
      </w:r>
      <w:hyperlink r:id="rId22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51.1938%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32.6805%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27.1916%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44.7927%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8.6653%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10.5229%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12.9493%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12.0040%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coastal/guild or historical ecological extension.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26.3836%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Unambiguous documented generic taxonomic group fit.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20.4005%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focal source taxon or genus assignment.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18.8441%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Assumed complete eligible family or suborder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16.0401%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category approximated over compatible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11.7371%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Related-member extension from source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6.0025%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source spelling or historical-name bridge.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0.2692%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represented analogue with material source mismatches.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0.2669%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Partial or competing ecological/taxonomic fit.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0.0561%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13">
        <w:r>
          <w:rPr>
            <w:color w:val="0563C1"/>
            <w:u w:val="single"/>
          </w:rPr>
          <w:t>focalp130 and identity</w:t>
        </w:r>
      </w:hyperlink>
      <w:r>
        <w:t xml:space="preserve">, </w:t>
      </w:r>
      <w:hyperlink r:id="rId23">
        <w:r>
          <w:rPr>
            <w:color w:val="0563C1"/>
            <w:u w:val="single"/>
          </w:rPr>
          <w:t>predecessor Table2</w:t>
        </w:r>
      </w:hyperlink>
      <w:r>
        <w:t xml:space="preserve"> and </w:t>
      </w:r>
      <w:hyperlink r:id="rId24">
        <w:r>
          <w:rPr>
            <w:color w:val="0563C1"/>
            <w:u w:val="single"/>
          </w:rPr>
          <w:t>all taxon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group receives 100%; no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66.3184%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1980 canonical export proportions, including zero candidates.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23.2148%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Retained historical identified-catch proxy with population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10.4668%</w:t>
            </w:r>
          </w:p>
        </w:tc>
      </w:tr>
    </w:tbl>
    <w:p>
      <w:pPr>
        <w:keepNext w:val="0"/>
        <w:pageBreakBefore w:val="0"/>
        <w:spacing w:after="120"/>
      </w:pPr>
      <w:r>
        <w:t xml:space="preserve">Percentages are simple-chain PPR shares of taxa using each rule. Accepted 48 stage fractions remain unchanged. Revised broad candidate sets use complete model export proportions; historical identified-catch fractions with unchanged candidates remain at Low because donor country/gear/composition differ. No compatible observed stage-mass partitions were located. </w:t>
      </w:r>
      <w:hyperlink r:id="rId25">
        <w:r>
          <w:rPr>
            <w:color w:val="0563C1"/>
            <w:u w:val="single"/>
          </w:rPr>
          <w:t>Weights and donor evidence</w:t>
        </w:r>
      </w:hyperlink>
    </w:p>
    <w:p>
      <w:pPr>
        <w:keepNext w:val="0"/>
        <w:pageBreakBefore w:val="0"/>
        <w:spacing w:after="120"/>
      </w:pPr>
      <w:r>
        <w:t xml:space="preserve">Unresolved: none. Very low: 34 labels contribute 12.9493% of landings and 12.0040% of simple-chain PPR. Broad fish/invertebrate residual composition, historical serranid and carangid concepts, coastal herbivore/trashfish analogues and nine billfish rely on explicit assumptions. Billfish use the acknowledged predecessor large-pelagic connection to focal Tuna, with narrowed coastal taxonomy and depth limits. All affected taxa appear in the linked appendix. Model-method shares differ: Very low contributes 14.12% of GE, 12.01% of TE and 13.86% of With Egestion all-source PPR; Carangidae alone contributes 7.93% of GE. </w:t>
      </w:r>
      <w:hyperlink r:id="rId26">
        <w:r>
          <w:rPr>
            <w:color w:val="0563C1"/>
            <w:u w:val="single"/>
          </w:rPr>
          <w:t>Method-specific exposure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R is the Sea Around Us target. The accessible focal article establishes a 10–50 m shelf domain but provides no usable boundary here. Pauly &amp; Chuenpagdee 2003 Figure 14-1 gives geographic lineage context with a 50 m contour; its bounded trace is illustrative and does not substitute for focal studyS.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Gulf of Thailand target and shelf context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4328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Target R:387,239 km². Blue shows the target; orange is a bounded contextual shelf trace within the visible angular lineage boundary. Coastline/islands are simplified; all eight stated water/land controls pass. </w:t>
      </w:r>
      <w:r>
        <w:t xml:space="preserve">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Context trace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Illustrative depth context from lineage map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4328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Contextual trace:112,695 km²; intersection:102,520 km²; contextual A≈26.47%, B≈90.97%. The text's larger 0–50 m band≈150,000 km²/target≈38.74% is a separate area context, not a second measured polygon. Neither supplies the absent 10 m coastal boundary or full focal study extent. No spatial multiplier is applied. </w:t>
      </w:r>
      <w:r>
        <w:t xml:space="preserve"> </w:t>
      </w:r>
      <w:hyperlink r:id="rId30">
        <w:r>
          <w:rPr>
            <w:color w:val="0563C1"/>
            <w:u w:val="single"/>
          </w:rPr>
          <w:t>Lineage Figure14-1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Calibration and limits</w:t>
        </w:r>
      </w:hyperlink>
    </w:p>
    <w:p>
      <w:pPr>
        <w:pageBreakBefore/>
        <w:spacing w:after="40" w:before="0" w:line="240" w:lineRule="auto"/>
      </w:pPr>
      <w:r>
        <w:t>Original lineage Figure 14-1 (printed 338/PDF 2). Its 50 m contour and angular jurisdiction/location line are geography context. Figure 14-3 is an ecosystem diagram; no focal original-study figure is falsely claimed.</w:t>
      </w:r>
      <w:r>
        <w:drawing>
          <wp:inline xmlns:a="http://schemas.openxmlformats.org/drawingml/2006/main" xmlns:pic="http://schemas.openxmlformats.org/drawingml/2006/picture">
            <wp:extent cx="4572000" cy="5647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igure14_1_cropp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77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35.xlsx" TargetMode="External"/><Relationship Id="rId10" Type="http://schemas.openxmlformats.org/officeDocument/2006/relationships/hyperlink" Target="raw/LME_035-catch.zip" TargetMode="External"/><Relationship Id="rId11" Type="http://schemas.openxmlformats.org/officeDocument/2006/relationships/hyperlink" Target="https://doi.org/10.1111/j.1095-8649.1998.tb01023.x" TargetMode="External"/><Relationship Id="rId12" Type="http://schemas.openxmlformats.org/officeDocument/2006/relationships/hyperlink" Target="https://www.academia.edu/1483062/Fishery_induced_changes_in_a_marine_ecosystem_insight_from_models_of_the_Gulf_of_Thailand" TargetMode="External"/><Relationship Id="rId13" Type="http://schemas.openxmlformats.org/officeDocument/2006/relationships/hyperlink" Target="papers/Christensen-1998/source-facts.json" TargetMode="External"/><Relationship Id="rId14" Type="http://schemas.openxmlformats.org/officeDocument/2006/relationships/hyperlink" Target="validation_reports/35_412_Gulf_of_Thailande_%281963%29/independent_review/Pauly_Christensen_1993.pdf" TargetMode="External"/><Relationship Id="rId15" Type="http://schemas.openxmlformats.org/officeDocument/2006/relationships/hyperlink" Target="papers/GOT-2003" TargetMode="External"/><Relationship Id="rId16" Type="http://schemas.openxmlformats.org/officeDocument/2006/relationships/hyperlink" Target="papers/LME035-Premcharoen-2012" TargetMode="External"/><Relationship Id="rId17" Type="http://schemas.openxmlformats.org/officeDocument/2006/relationships/hyperlink" Target="models/35_412_Gulf_of_Thailande_%281963%29/model.json" TargetMode="External"/><Relationship Id="rId18" Type="http://schemas.openxmlformats.org/officeDocument/2006/relationships/hyperlink" Target="validation_reports/35_412_Gulf_of_Thailande_%281963%29/source_fidelity_review.json" TargetMode="External"/><Relationship Id="rId19" Type="http://schemas.openxmlformats.org/officeDocument/2006/relationships/hyperlink" Target="validation_reports/35_412_Gulf_of_Thailande_%281963%29/source_review.md" TargetMode="External"/><Relationship Id="rId20" Type="http://schemas.openxmlformats.org/officeDocument/2006/relationships/hyperlink" Target="validation_reports/35_412_Gulf_of_Thailande_%281963%29/matrix_inspection.json" TargetMode="External"/><Relationship Id="rId21" Type="http://schemas.openxmlformats.org/officeDocument/2006/relationships/hyperlink" Target="LME035_taxon_mapping_appendix.xlsx" TargetMode="External"/><Relationship Id="rId22" Type="http://schemas.openxmlformats.org/officeDocument/2006/relationships/hyperlink" Target="LME035_taxon_mapping_appendix.xlsx#Sources%21A1" TargetMode="External"/><Relationship Id="rId23" Type="http://schemas.openxmlformats.org/officeDocument/2006/relationships/hyperlink" Target="validation_reports/35_412_Gulf_of_Thailande_%281963%29/independent_review/Pauly_Christensen_1993.pdf#page=19" TargetMode="External"/><Relationship Id="rId24" Type="http://schemas.openxmlformats.org/officeDocument/2006/relationships/hyperlink" Target="validation_reports/35_412_Gulf_of_Thailande_%281963%29/taxon_audit.json" TargetMode="External"/><Relationship Id="rId25" Type="http://schemas.openxmlformats.org/officeDocument/2006/relationships/hyperlink" Target="validation_reports/35_412_Gulf_of_Thailande_%281963%29/candidate_and_allocation_evidence.json" TargetMode="External"/><Relationship Id="rId26" Type="http://schemas.openxmlformats.org/officeDocument/2006/relationships/hyperlink" Target="validation_reports/35_412_Gulf_of_Thailande_%281963%29/method_specific_mapping_exposure.json" TargetMode="External"/><Relationship Id="rId27" Type="http://schemas.openxmlformats.org/officeDocument/2006/relationships/image" Target="media/image1.png"/><Relationship Id="rId28" Type="http://schemas.openxmlformats.org/officeDocument/2006/relationships/hyperlink" Target="validation_reports/35_412_Gulf_of_Thailande_%281963%29/geography/target_region.geojson" TargetMode="External"/><Relationship Id="rId29" Type="http://schemas.openxmlformats.org/officeDocument/2006/relationships/hyperlink" Target="validation_reports/35_412_Gulf_of_Thailande_%281963%29/geography/contextual_0_50m_shelf_trace.geojson" TargetMode="External"/><Relationship Id="rId30" Type="http://schemas.openxmlformats.org/officeDocument/2006/relationships/hyperlink" Target="papers/Christensen-1998/Pauly-Chuenpagdee-2003.pdf#page=2" TargetMode="External"/><Relationship Id="rId31" Type="http://schemas.openxmlformats.org/officeDocument/2006/relationships/hyperlink" Target="validation_reports/35_412_Gulf_of_Thailande_%281963%29/geography/geographic_assessment.json" TargetMode="External"/><Relationship Id="rId3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