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xmlns:ns3="http://schemas.openxmlformats.org/drawingml/2006/wordprocessingDrawing" xmlns:ns4="http://schemas.openxmlformats.org/drawingml/2006/main" xmlns:ns5="http://schemas.openxmlformats.org/drawingml/2006/picture" xmlns:w14="http://schemas.microsoft.com/office/word/2010/wordml" xmlns:wp14="http://schemas.microsoft.com/office/word/2010/wordprocessingDrawing" ns1:Ignorable="w14 wp14">
  <ns0:body>
    <ns0:p>
      <ns0:pPr>
        <ns0:pStyle ns0:val="Title"/>
      </ns0:pPr>
      <ns0:r>
        <ns0:t xml:space="preserve">Gulf of Thailand model validation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</ns0:tblPr>
      <ns0:tblGrid>
        <ns0:gridCol ns0:w="2203"/>
        <ns0:gridCol ns0:w="7834"/>
      </ns0:tblGrid>
      <ns0:tr>
        <ns0:trPr>
          <ns0:tblHeader/>
          <ns0:tblHeader/>
        </ns0:trPr>
        <ns0:tc>
          <ns0:tcPr>
            <ns0:tcW ns0:type="dxa" ns0:w="2203"/>
            <ns0:vAlign ns0:val="center"/>
            <ns0:shd ns0:fill="E5ECF0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Field</ns0:t>
            </ns0:r>
          </ns0:p>
        </ns0:tc>
        <ns0:tc>
          <ns0:tcPr>
            <ns0:tcW ns0:type="dxa" ns0:w="7834"/>
            <ns0:vAlign ns0:val="center"/>
            <ns0:shd ns0:fill="E5ECF0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rPr>
                <ns0:rFonts ns0:ascii="Calibri" ns0:hAnsi="Calibri"/>
                <ns0:sz ns0:val="21"/>
                <ns0:color ns0:val="000000"/>
                <ns0:b/>
              </ns0:rPr>
              <ns0:t>Entry</ns0:t>
            </ns0:r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Region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Gulf of Thailand, LME_035; source 10–50 m shelf applied across the whole LME.</ns0:t>
            </ns0:r>
            <ns0:r>
              <ns0:t xml:space="preserve"> </ns0:t>
            </ns0:r>
            <ns0:hyperlink ns2:id="rId9">
              <ns0:r>
                <ns0:rPr>
                  <ns0:color ns0:val="0563C1"/>
                  <ns0:u ns0:val="single"/>
                </ns0:rPr>
                <ns0:t>Regional workbook</ns0:t>
              </ns0:r>
            </ns0:hyperlink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Catch source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 xml:space="preserve">Sea Around Us v50.1; local 1950–2019 catch; reference: 2019 landings. </ns0:t>
            </ns0:r>
            <ns0:hyperlink ns2:id="rId10">
              <ns0:r>
                <ns0:rPr>
                  <ns0:color ns0:val="0563C1"/>
                  <ns0:u ns0:val="single"/>
                </ns0:rPr>
                <ns0:t>Original catch</ns0:t>
              </ns0:r>
            </ns0:hyperlink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Selected article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Christensen, V. (1998). Fishery-induced changes in a marine ecosystem: insight from models of the Gulf of Thailand. Journal of Fish Biology 53 (Suppl. A): 128–142. Author full HTML read; original PDF unavailable.</ns0:t>
            </ns0:r>
            <ns0:r>
              <ns0:t xml:space="preserve"> </ns0:t>
            </ns0:r>
            <ns0:hyperlink ns2:id="rId11">
              <ns0:r>
                <ns0:rPr>
                  <ns0:color ns0:val="0563C1"/>
                  <ns0:u ns0:val="single"/>
                </ns0:rPr>
                <ns0:t>DOI</ns0:t>
              </ns0:r>
            </ns0:hyperlink>
            <ns0:r>
              <ns0:t xml:space="preserve"> | </ns0:t>
            </ns0:r>
            <ns0:hyperlink ns2:id="rId12">
              <ns0:r>
                <ns0:rPr>
                  <ns0:color ns0:val="0563C1"/>
                  <ns0:u ns0:val="single"/>
                </ns0:rPr>
                <ns0:t>Author full text</ns0:t>
              </ns0:r>
            </ns0:hyperlink>
            <ns0:r>
              <ns0:t xml:space="preserve"> | </ns0:t>
            </ns0:r>
            <ns0:hyperlink ns2:id="rId13">
              <ns0:r>
                <ns0:rPr>
                  <ns0:color ns0:val="0563C1"/>
                  <ns0:u ns0:val="single"/>
                </ns0:rPr>
                <ns0:t>Retained source facts</ns0:t>
              </ns0:r>
            </ns0:hyperlink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Other known articles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Pauly &amp; Christensen (1993), Stratified models of large marine ecosystems: application to the South China Sea — acknowledged 10–50 m Gulf predecessor. Vibunpant et al. (2003), Trophic model of the coastal fisheries ecosystem in the Gulf of Thailand — separate 40-group 1973 model. Premcharoen (2012), Mae Klong estuary — subregional alternative.</ns0:t>
            </ns0:r>
            <ns0:r>
              <ns0:t xml:space="preserve"> </ns0:t>
            </ns0:r>
            <ns0:hyperlink ns2:id="rId14">
              <ns0:r>
                <ns0:rPr>
                  <ns0:color ns0:val="0563C1"/>
                  <ns0:u ns0:val="single"/>
                </ns0:rPr>
                <ns0:t>1993 predecessor</ns0:t>
              </ns0:r>
            </ns0:hyperlink>
            <ns0:r>
              <ns0:t xml:space="preserve"> | </ns0:t>
            </ns0:r>
            <ns0:hyperlink ns2:id="rId15">
              <ns0:r>
                <ns0:rPr>
                  <ns0:color ns0:val="0563C1"/>
                  <ns0:u ns0:val="single"/>
                </ns0:rPr>
                <ns0:t>1973 source</ns0:t>
              </ns0:r>
            </ns0:hyperlink>
            <ns0:r>
              <ns0:t xml:space="preserve"> | </ns0:t>
            </ns0:r>
            <ns0:hyperlink ns2:id="rId16">
              <ns0:r>
                <ns0:rPr>
                  <ns0:color ns0:val="0563C1"/>
                  <ns0:u ns0:val="single"/>
                </ns0:rPr>
                <ns0:t>Estuary source</ns0:t>
              </ns0:r>
            </ns0:hyperlink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Selected model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35_412_Gulf_of_Thailande_(1963); scientific payload 1980 despite inherited 1963 filename. EcoBase 412 description and all 11 Table II biomass comparisons identify 1980. 29 source ecological groups (+1 computational import); 10–50 m shelf.</ns0:t>
            </ns0:r>
            <ns0:r>
              <ns0:t xml:space="preserve"> </ns0:t>
            </ns0:r>
            <ns0:hyperlink ns2:id="rId17">
              <ns0:r>
                <ns0:rPr>
                  <ns0:color ns0:val="0563C1"/>
                  <ns0:u ns0:val="single"/>
                </ns0:rPr>
                <ns0:t>Canonical model</ns0:t>
              </ns0:r>
            </ns0:hyperlink>
            <ns0:r>
              <ns0:t xml:space="preserve"> | </ns0:t>
            </ns0:r>
            <ns0:hyperlink ns2:id="rId18">
              <ns0:r>
                <ns0:rPr>
                  <ns0:color ns0:val="0563C1"/>
                  <ns0:u ns0:val="single"/>
                </ns0:rPr>
                <ns0:t>Identity evidence</ns0:t>
              </ns0:r>
            </ns0:hyperlink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rPr>
                <ns0:rFonts ns0:ascii="Calibri" ns0:hAnsi="Calibri"/>
                <ns0:sz ns0:val="21"/>
                <ns0:color ns0:val="000000"/>
                <ns0:b/>
              </ns0:rPr>
              <ns0:t>Other models from the same article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Article compares 1963 and 1980 baselines. Selected canonical file contains 1980; a separate verified complete 1963 parameter/diet set is not supplied. 1993 predecessor and 1973 candidate have different group structures.</ns0:t>
            </ns0:r>
          </ns0:p>
        </ns0:tc>
      </ns0:tr>
      <ns0:tr>
        <ns0:trPr>
          <ns0:cantSplit/>
          <ns0:cantSplit/>
        </ns0:trPr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Selection rationale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Article — ?</ns0:t>
              <ns0:br/>
              <ns0:t>Model — Retained selected EcoBase 412 payload; independent identity evidence establishes 1980. Whole-LME/year application remains provisional; scientific approval is not established by finite coefficients.</ns0:t>
            </ns0:r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Model extraction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Available source identity, habitat, illustrative membership and 11 biomasses were checked. Complete published B/PB/QB/EE/diet inputs are unavailable. Accepted canonical export, BA, diet, routing and runtime settings are retained; exact loaded groups agree. Zero juvenile exports are canonical values, not observed regional stage catches.</ns0:t>
            </ns0:r>
            <ns0:r>
              <ns0:t xml:space="preserve"> </ns0:t>
            </ns0:r>
            <ns0:hyperlink ns2:id="rId19">
              <ns0:r>
                <ns0:rPr>
                  <ns0:color ns0:val="0563C1"/>
                  <ns0:u ns0:val="single"/>
                </ns0:rPr>
                <ns0:t>Source limitations</ns0:t>
              </ns0:r>
            </ns0:hyperlink>
            <ns0:r>
              <ns0:t xml:space="preserve"> | </ns0:t>
            </ns0:r>
            <ns0:hyperlink ns2:id="rId20">
              <ns0:r>
                <ns0:rPr>
                  <ns0:color ns0:val="0563C1"/>
                  <ns0:u ns0:val="single"/>
                </ns0:rPr>
                <ns0:t>Loaded proof</ns0:t>
              </ns0:r>
            </ns0:hyperlink>
          </ns0:p>
          <ns0:p>
            <ns0:r>
              <ns0:t>Retained departures and evidence limits: </ns0:t>
            </ns0:r>
            <ns0:hyperlink ns2:id="rIdModelNotes">
              <ns0:r>
                <ns0:rPr>
                  <ns0:color ns0:val="0563C1"/>
                  <ns0:u ns0:val="single"/>
                </ns0:rPr>
                <ns0:t>model notes</ns0:t>
              </ns0:r>
            </ns0:hyperlink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GE diagnostics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 xml:space="preserve">WARN: Jellyfish (18) and M. mammals (1) have EE = 0.</ns0:t>
            </ns0:r>
          </ns0:p>
          <ns0:p>
            <ns0:pPr>
              <ns0:spacing ns0:after="40" ns0:before="0" ns0:line="240" ns0:lineRule="auto"/>
            </ns0:pPr>
            <ns0:r>
              <ns0:t xml:space="preserve">No negative SPPR entries across the basal-source columns.</ns0:t>
            </ns0:r>
          </ns0:p>
          <ns0:p>
            <ns0:pPr>
              <ns0:spacing ns0:after="40" ns0:before="0" ns0:line="240" ns0:lineRule="auto"/>
            </ns0:pPr>
            <ns0:r>
              <ns0:t xml:space="preserve">rho_living = 0.2400</ns0:t>
            </ns0:r>
          </ns0:p>
          <ns0:p>
            <ns0:pPr>
              <ns0:spacing ns0:after="40" ns0:before="0" ns0:line="240" ns0:lineRule="auto"/>
            </ns0:pPr>
            <ns0:r>
              <ns0:t xml:space="preserve">b = 0.2712</ns0:t>
            </ns0:r>
          </ns0:p>
          <ns0:p>
            <ns0:pPr>
              <ns0:spacing ns0:after="40" ns0:before="0" ns0:line="240" ns0:lineRule="auto"/>
            </ns0:pPr>
            <ns0:r>
              <ns0:t xml:space="preserve">Detritus (29): SPPR = 2.5802</ns0:t>
            </ns0:r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TE diagnostics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 xml:space="preserve">WARN: Jellyfish (18) and M. mammals (1) have EE = 0.</ns0:t>
            </ns0:r>
          </ns0:p>
          <ns0:p>
            <ns0:pPr>
              <ns0:spacing ns0:after="40" ns0:before="0" ns0:line="240" ns0:lineRule="auto"/>
            </ns0:pPr>
            <ns0:r>
              <ns0:t xml:space="preserve">No negative SPPR entries across the basal-source columns.</ns0:t>
            </ns0:r>
          </ns0:p>
          <ns0:p>
            <ns0:pPr>
              <ns0:spacing ns0:after="40" ns0:before="0" ns0:line="240" ns0:lineRule="auto"/>
            </ns0:pPr>
            <ns0:r>
              <ns0:t xml:space="preserve">rho_living = 0.6142</ns0:t>
            </ns0:r>
          </ns0:p>
          <ns0:p>
            <ns0:pPr>
              <ns0:spacing ns0:after="40" ns0:before="0" ns0:line="240" ns0:lineRule="auto"/>
            </ns0:pPr>
            <ns0:r>
              <ns0:t xml:space="preserve">Detritus (29): SPPR = 0.6600</ns0:t>
            </ns0:r>
          </ns0:p>
        </ns0:tc>
      </ns0:tr>
      <ns0:tr>
        <ns0:trPr>
          <ns0:cantSplit/>
        </ns0:trPr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SPPR calculation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rPr>
                <ns0:rFonts ns0:ascii="Calibri" ns0:hAnsi="Calibri"/>
                <ns0:sz ns0:val="21"/>
                <ns0:color ns0:val="000000"/>
              </ns0:rPr>
              <ns0:t xml:space="preserve">[MANUAL — Researcher: calculation choices and reasons]</ns0:t>
            </ns0:r>
          </ns0:p>
          <ns0:p>
            <ns0:pPr>
              <ns0:spacing ns0:after="40" ns0:before="0" ns0:line="240" ns0:lineRule="auto"/>
            </ns0:pPr>
            <ns0:r>
              <ns0:rPr>
                <ns0:rFonts ns0:ascii="Calibri" ns0:hAnsi="Calibri"/>
                <ns0:sz ns0:val="21"/>
                <ns0:color ns0:val="000000"/>
              </ns0:rPr>
              <ns0:t xml:space="preserve">[Excluded groups, scope and relevant values; other adjustments]</ns0:t>
            </ns0:r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Geographic fit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 xml:space="preserve">A. Region covered by the focal 10–50 m study: not determined.</ns0:t>
            </ns0:r>
          </ns0:p>
          <ns0:p>
            <ns0:pPr>
              <ns0:spacing ns0:after="40" ns0:before="0" ns0:line="240" ns0:lineRule="auto"/>
            </ns0:pPr>
            <ns0:r>
              <ns0:t xml:space="preserve">B. Focal study area covered by the region: not determined.</ns0:t>
            </ns0:r>
          </ns0:p>
          <ns0:p>
            <ns0:pPr>
              <ns0:spacing ns0:after="40" ns0:before="0" ns0:line="240" ns0:lineRule="auto"/>
            </ns0:pPr>
            <ns0:r>
              <ns0:t xml:space="preserve">The original focal boundary is unavailable; the contextual estimates are shown with the figures below.</ns0:t>
            </ns0:r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Temporal fit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Static 1980 coefficients and fixed composition/stage proxies apply across 1950–2019 whole-LME catches; reference 2019 is 39 years later. Source shelf and reporting-population differences are not reconstructed annual ecosystem dynamics.</ns0:t>
            </ns0:r>
          </ns0:p>
        </ns0:tc>
      </ns0:tr>
      <ns0:tr>
        <ns0:trPr/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Other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>
              <ns0:t>GE, TE and With Egestion remain WARN. TE repairs consumed-production routing for two EE = 0 groups (marine mammals, jellyfish) under accepted runtime settings. All 270 direct source entries are finite/nonnegative, including unfished groups; six symbolic methods remain failed. Source fidelity and spatial/temporal application limits remain.</ns0:t>
            </ns0:r>
            <ns0:r>
              <ns0:t xml:space="preserve"> </ns0:t>
            </ns0:r>
            <ns0:hyperlink ns2:id="rId20">
              <ns0:r>
                <ns0:rPr>
                  <ns0:color ns0:val="0563C1"/>
                  <ns0:u ns0:val="single"/>
                </ns0:rPr>
                <ns0:t>Full diagnostics</ns0:t>
              </ns0:r>
            </ns0:hyperlink>
          </ns0:p>
        </ns0:tc>
      </ns0:tr>
      <ns0:tr>
        <ns0:trPr>
          <ns0:cantSplit/>
        </ns0:trPr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Open issues and next action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sz ns0:val="21"/>
              </ns0:rPr>
              <ns0:t>[Researcher: open issues and next actions]</ns0:t>
              <ns0:br/>
              <ns0:t/>
              <ns0:br/>
              <ns0:t/>
            </ns0:r>
          </ns0:p>
        </ns0:tc>
      </ns0:tr>
      <ns0:tr>
        <ns0:trPr>
          <ns0:cantSplit/>
        </ns0:trPr>
        <ns0:tc>
          <ns0:tcPr>
            <ns0:tcW ns0:type="dxa" ns0:w="2203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b/>
                <ns0:sz ns0:val="21"/>
              </ns0:rPr>
              <ns0:t>Review and reproducibility</ns0:t>
            </ns0:r>
          </ns0:p>
        </ns0:tc>
        <ns0:tc>
          <ns0:tcPr>
            <ns0:tcW ns0:type="dxa" ns0:w="7834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sz ns0:val="21"/>
              </ns0:rPr>
              <ns0:t>Researcher name: [name] | review date: [date]</ns0:t>
              <ns0:br/>
              <ns0:t/>
              <ns0:br/>
              <ns0:t/>
              <ns0:br/>
              <ns0:t/>
            </ns0:r>
          </ns0:p>
        </ns0:tc>
      </ns0:tr>
    </ns0:tbl>
    <ns0:p>
      <ns0:r>
        <ns0:br ns0:type="page"/>
      </ns0:r>
    </ns0:p>
    <ns0:p>
      <ns0:pPr>
        <ns0:keepNext/>
        <ns0:pageBreakBefore/>
        <ns0:spacing ns0:after="120"/>
      </ns0:pPr>
      <ns0:r>
        <ns0:rPr>
          <ns0:rFonts ns0:ascii="Calibri" ns0:hAnsi="Calibri"/>
          <ns0:b/>
          <ns0:color ns0:val="000000"/>
          <ns0:sz ns0:val="30"/>
        </ns0:rPr>
        <ns0:t>Taxon mapping and coverage</ns0:t>
      </ns0:r>
    </ns0:p>
    <ns0:p>
      <ns0:pPr>
        <ns0:keepNext ns0:val="0"/>
        <ns0:pageBreakBefore ns0:val="0"/>
        <ns0:spacing ns0:after="120"/>
      </ns0:pPr>
      <ns0:r>
        <ns0:t xml:space="preserve">Reference: 2019 landings; all taxon labels, including zero catch and unidentified categories; no group filter.</ns0:t>
      </ns0:r>
    </ns0:p>
    <ns0:p>
      <ns0:pPr>
        <ns0:keepNext ns0:val="0"/>
        <ns0:pageBreakBefore ns0:val="0"/>
        <ns0:spacing ns0:after="120"/>
      </ns0:pPr>
      <ns0:r>
        <ns0:t xml:space="preserve">29 source ecological groups (+1 computational import); 247 catch taxa.</ns0:t>
      </ns0:r>
    </ns0:p>
    <ns0:p>
      <ns0:pPr>
        <ns0:keepNext ns0:val="0"/>
        <ns0:pageBreakBefore ns0:val="0"/>
        <ns0:spacing ns0:after="120"/>
      </ns0:pPr>
      <ns0:r>
        <ns0:t>Simple-chain PPR totals 192,544,832.38 t C in 2019.</ns0:t>
      </ns0:r>
    </ns0:p>
    <ns0:p>
      <ns0:pPr>
        <ns0:keepNext ns0:val="0"/>
        <ns0:pageBreakBefore ns0:val="0"/>
        <ns0:spacing ns0:after="120"/>
      </ns0:pPr>
      <ns0:r>
        <ns0:t xml:space="preserve">33 labels lack a classic TL/coefficient; all have zero 2019 landings and contribute zero annual PPR.</ns0:t>
      </ns0:r>
    </ns0:p>
    <ns0:p>
      <ns0:pPr>
        <ns0:keepNext ns0:val="0"/>
        <ns0:pageBreakBefore ns0:val="0"/>
        <ns0:spacing ns0:after="120"/>
      </ns0:pPr>
      <ns0:r>
        <ns0:t xml:space="preserve">Method: independent simple trophic chain.</ns0:t>
      </ns0:r>
    </ns0:p>
    <ns0:p>
      <ns0:pPr>
        <ns0:keepNext ns0:val="0"/>
        <ns0:pageBreakBefore ns0:val="0"/>
        <ns0:spacing ns0:after="120"/>
      </ns0:pPr>
      <ns0:hyperlink ns2:id="rId21">
        <ns0:r>
          <ns0:rPr>
            <ns0:color ns0:val="0563C1"/>
            <ns0:u ns0:val="single"/>
          </ns0:rPr>
          <ns0:t>All taxon mappings</ns0:t>
        </ns0:r>
      </ns0:hyperlink>
      <ns0:r>
        <ns0:t xml:space="preserve"> and </ns0:t>
      </ns0:r>
      <ns0:hyperlink ns2:id="rId22">
        <ns0:r>
          <ns0:rPr>
            <ns0:color ns0:val="0563C1"/>
            <ns0:u ns0:val="single"/>
          </ns0:rPr>
          <ns0:t>descriptive Sources sheet</ns0:t>
        </ns0:r>
      </ns0:hyperlink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3888"/>
        <ns0:gridCol ns0:w="1440"/>
        <ns0:gridCol ns0:w="2304"/>
        <ns0:gridCol ns0:w="2376"/>
      </ns0:tblGrid>
      <ns0:tr>
        <ns0:trPr>
          <ns0:tblHeader/>
          <ns0:cantSplit/>
          <ns0:tblHeader/>
          <ns0:cantSplit/>
        </ns0:trPr>
        <ns0:tc>
          <ns0:tcPr>
            <ns0:tcW ns0:type="dxa" ns0:w="3888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 xml:space="preserve">Overall confidence</ns0:t>
            </ns0:r>
          </ns0:p>
        </ns0:tc>
        <ns0:tc>
          <ns0:tcPr>
            <ns0:tcW ns0:type="dxa" ns0:w="1440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 xml:space="preserve">Taxa (n)</ns0:t>
            </ns0:r>
          </ns0:p>
        </ns0:tc>
        <ns0:tc>
          <ns0:tcPr>
            <ns0:tcW ns0:type="dxa" ns0:w="2304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 xml:space="preserve">Catch (%)</ns0:t>
            </ns0:r>
          </ns0:p>
        </ns0:tc>
        <ns0:tc>
          <ns0:tcPr>
            <ns0:tcW ns0:type="dxa" ns0:w="2376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 xml:space="preserve">Simple-chain PPR (%)</ns0:t>
            </ns0:r>
          </ns0:p>
        </ns0:tc>
      </ns0:tr>
      <ns0:tr>
        <ns0:trPr>
          <ns0:cantSplit/>
          <ns0:cantSplit/>
        </ns0:trPr>
        <ns0:tc>
          <ns0:tcPr>
            <ns0:tcW ns0:type="dxa" ns0:w="3888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High</ns0:t>
            </ns0:r>
          </ns0:p>
        </ns0:tc>
        <ns0:tc>
          <ns0:tcPr>
            <ns0:tcW ns0:type="dxa" ns0:w="1440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99</ns0:t>
            </ns0:r>
          </ns0:p>
        </ns0:tc>
        <ns0:tc>
          <ns0:tcPr>
            <ns0:tcW ns0:type="dxa" ns0:w="230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51%</ns0:t>
            </ns0:r>
          </ns0:p>
        </ns0:tc>
        <ns0:tc>
          <ns0:tcPr>
            <ns0:tcW ns0:type="dxa" ns0:w="2376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33%</ns0:t>
            </ns0:r>
          </ns0:p>
        </ns0:tc>
      </ns0:tr>
      <ns0:tr>
        <ns0:trPr>
          <ns0:cantSplit/>
          <ns0:cantSplit/>
        </ns0:trPr>
        <ns0:tc>
          <ns0:tcPr>
            <ns0:tcW ns0:type="dxa" ns0:w="3888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Medium</ns0:t>
            </ns0:r>
          </ns0:p>
        </ns0:tc>
        <ns0:tc>
          <ns0:tcPr>
            <ns0:tcW ns0:type="dxa" ns0:w="1440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103</ns0:t>
            </ns0:r>
          </ns0:p>
        </ns0:tc>
        <ns0:tc>
          <ns0:tcPr>
            <ns0:tcW ns0:type="dxa" ns0:w="2304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27%</ns0:t>
            </ns0:r>
          </ns0:p>
        </ns0:tc>
        <ns0:tc>
          <ns0:tcPr>
            <ns0:tcW ns0:type="dxa" ns0:w="2376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45%</ns0:t>
            </ns0:r>
          </ns0:p>
        </ns0:tc>
      </ns0:tr>
      <ns0:tr>
        <ns0:trPr>
          <ns0:cantSplit/>
          <ns0:cantSplit/>
        </ns0:trPr>
        <ns0:tc>
          <ns0:tcPr>
            <ns0:tcW ns0:type="dxa" ns0:w="3888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Low</ns0:t>
            </ns0:r>
          </ns0:p>
        </ns0:tc>
        <ns0:tc>
          <ns0:tcPr>
            <ns0:tcW ns0:type="dxa" ns0:w="1440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11</ns0:t>
            </ns0:r>
          </ns0:p>
        </ns0:tc>
        <ns0:tc>
          <ns0:tcPr>
            <ns0:tcW ns0:type="dxa" ns0:w="230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8.7%</ns0:t>
            </ns0:r>
          </ns0:p>
        </ns0:tc>
        <ns0:tc>
          <ns0:tcPr>
            <ns0:tcW ns0:type="dxa" ns0:w="2376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11%</ns0:t>
            </ns0:r>
          </ns0:p>
        </ns0:tc>
      </ns0:tr>
      <ns0:tr>
        <ns0:trPr>
          <ns0:cantSplit/>
          <ns0:cantSplit/>
        </ns0:trPr>
        <ns0:tc>
          <ns0:tcPr>
            <ns0:tcW ns0:type="dxa" ns0:w="3888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Very low</ns0:t>
            </ns0:r>
          </ns0:p>
        </ns0:tc>
        <ns0:tc>
          <ns0:tcPr>
            <ns0:tcW ns0:type="dxa" ns0:w="1440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34</ns0:t>
            </ns0:r>
          </ns0:p>
        </ns0:tc>
        <ns0:tc>
          <ns0:tcPr>
            <ns0:tcW ns0:type="dxa" ns0:w="2304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13%</ns0:t>
            </ns0:r>
          </ns0:p>
        </ns0:tc>
        <ns0:tc>
          <ns0:tcPr>
            <ns0:tcW ns0:type="dxa" ns0:w="2376"/>
            <ns0:shd ns0:fill="F5F7F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12%</ns0:t>
            </ns0:r>
          </ns0:p>
        </ns0:tc>
      </ns0:tr>
      <ns0:tr>
        <ns0:trPr>
          <ns0:cantSplit/>
          <ns0:cantSplit/>
        </ns0:trPr>
        <ns0:tc>
          <ns0:tcPr>
            <ns0:tcW ns0:type="dxa" ns0:w="3888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Unresolved</ns0:t>
            </ns0:r>
          </ns0:p>
        </ns0:tc>
        <ns0:tc>
          <ns0:tcPr>
            <ns0:tcW ns0:type="dxa" ns0:w="1440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0</ns0:t>
            </ns0:r>
          </ns0:p>
        </ns0:tc>
        <ns0:tc>
          <ns0:tcPr>
            <ns0:tcW ns0:type="dxa" ns0:w="230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0%</ns0:t>
            </ns0:r>
          </ns0:p>
        </ns0:tc>
        <ns0:tc>
          <ns0:tcPr>
            <ns0:tcW ns0:type="dxa" ns0:w="2376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0%</ns0:t>
            </ns0:r>
          </ns0:p>
        </ns0:tc>
      </ns0:tr>
    </ns0:tbl>
    <ns0:p>
      <ns0:pPr>
        <ns0:keepNext ns0:val="0"/>
        <ns0:pageBreakBefore ns0:val="0"/>
        <ns0:spacing ns0:after="120"/>
      </ns0:pPr>
      <ns0:r>
        <ns0:rPr>
          <ns0:rFonts ns0:ascii="Calibri" ns0:hAnsi="Calibri"/>
          <ns0:b ns0:val="0"/>
          <ns0:color ns0:val="000000"/>
          <ns0:sz ns0:val="21"/>
        </ns0:rPr>
        <ns0:t xml:space="preserve">Overall confidence uses the weaker required membership or allocation component.</ns0:t>
      </ns0:r>
    </ns0:p>
    <ns0:p>
      <ns0:pPr>
        <ns0:keepNext/>
        <ns0:pageBreakBefore ns0:val="0"/>
        <ns0:spacing ns0:after="120"/>
      </ns0:pPr>
      <ns0:r>
        <ns0:rPr>
          <ns0:rFonts ns0:ascii="Calibri" ns0:hAnsi="Calibri"/>
          <ns0:b/>
          <ns0:color ns0:val="000000"/>
          <ns0:sz ns0:val="23"/>
        </ns0:rPr>
        <ns0:t>Group assignment rules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624"/>
        <ns0:gridCol ns0:w="1512"/>
        <ns0:gridCol ns0:w="1872"/>
      </ns0:tblGrid>
      <ns0:tr>
        <ns0:trPr>
          <ns0:tblHeader/>
          <ns0:cantSplit/>
          <ns0:tblHeader/>
          <ns0:cantSplit/>
        </ns0:trPr>
        <ns0:tc>
          <ns0:tcPr>
            <ns0:tcW ns0:type="dxa" ns0:w="6624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>Plain-language rule</ns0:t>
            </ns0:r>
          </ns0:p>
        </ns0:tc>
        <ns0:tc>
          <ns0:tcPr>
            <ns0:tcW ns0:type="dxa" ns0:w="1512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>Confidence</ns0:t>
            </ns0:r>
          </ns0:p>
        </ns0:tc>
        <ns0:tc>
          <ns0:tcPr>
            <ns0:tcW ns0:type="dxa" ns0:w="1872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>PPR percentage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Supported coastal/guild or historical ecological extension.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Medium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26%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Unambiguous documented generic taxonomic group fit.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High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20%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Explicit focal source taxon or genus assignment.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High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19%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Assumed complete eligible family or suborder set.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Medium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16%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Broad reporting category approximated over compatible pools.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Very low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12%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Related-member extension from source representatives.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Medium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6.0%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Verified source spelling or historical-name bridge.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High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0.27%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Closest represented analogue with material source mismatches.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Very low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0.27%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Partial or competing ecological/taxonomic fit.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Low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0.056%</ns0:t>
            </ns0:r>
          </ns0:p>
        </ns0:tc>
      </ns0:tr>
    </ns0:tbl>
    <ns0:p>
      <ns0:pPr>
        <ns0:keepNext ns0:val="0"/>
        <ns0:pageBreakBefore ns0:val="0"/>
        <ns0:spacing ns0:after="120"/>
      </ns0:pPr>
      <ns0:r>
        <ns0:t xml:space="preserve">Membership evidence: </ns0:t>
      </ns0:r>
      <ns0:hyperlink ns2:id="rId13">
        <ns0:r>
          <ns0:rPr>
            <ns0:color ns0:val="0563C1"/>
            <ns0:u ns0:val="single"/>
          </ns0:rPr>
          <ns0:t>Christensen (1998), p.130 and model identity</ns0:t>
        </ns0:r>
      </ns0:hyperlink>
      <ns0:r>
        <ns0:t xml:space="preserve">, </ns0:t>
      </ns0:r>
      <ns0:hyperlink ns2:id="rId23">
        <ns0:r>
          <ns0:rPr>
            <ns0:color ns0:val="0563C1"/>
            <ns0:u ns0:val="single"/>
          </ns0:rPr>
          <ns0:t>Pauly &amp; Christensen (1993), Table 2</ns0:t>
        </ns0:r>
      </ns0:hyperlink>
      <ns0:r>
        <ns0:t xml:space="preserve"> and </ns0:t>
      </ns0:r>
      <ns0:hyperlink ns2:id="rId24">
        <ns0:r>
          <ns0:rPr>
            <ns0:color ns0:val="0563C1"/>
            <ns0:u ns0:val="single"/>
          </ns0:rPr>
          <ns0:t>all taxon decisions</ns0:t>
        </ns0:r>
      </ns0:hyperlink>
    </ns0:p>
    <ns0:p>
      <ns0:pPr>
        <ns0:keepNext/>
        <ns0:pageBreakBefore/>
        <ns0:spacing ns0:after="120"/>
      </ns0:pPr>
      <ns0:r>
        <ns0:rPr>
          <ns0:rFonts ns0:ascii="Calibri" ns0:hAnsi="Calibri"/>
          <ns0:b/>
          <ns0:color ns0:val="000000"/>
          <ns0:sz ns0:val="23"/>
        </ns0:rPr>
        <ns0:t>Allocation weight rules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624"/>
        <ns0:gridCol ns0:w="1512"/>
        <ns0:gridCol ns0:w="1872"/>
      </ns0:tblGrid>
      <ns0:tr>
        <ns0:trPr>
          <ns0:tblHeader/>
          <ns0:cantSplit/>
          <ns0:tblHeader/>
          <ns0:cantSplit/>
        </ns0:trPr>
        <ns0:tc>
          <ns0:tcPr>
            <ns0:tcW ns0:type="dxa" ns0:w="6624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>Plain-language rule</ns0:t>
            </ns0:r>
          </ns0:p>
        </ns0:tc>
        <ns0:tc>
          <ns0:tcPr>
            <ns0:tcW ns0:type="dxa" ns0:w="1512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>Confidence</ns0:t>
            </ns0:r>
          </ns0:p>
        </ns0:tc>
        <ns0:tc>
          <ns0:tcPr>
            <ns0:tcW ns0:type="dxa" ns0:w="1872"/>
            <ns0:shd ns0:fill="DDE9EE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rPr>
                <ns0:rFonts ns0:ascii="Calibri" ns0:hAnsi="Calibri"/>
                <ns0:b/>
                <ns0:color ns0:val="000000"/>
                <ns0:sz ns0:val="20"/>
              </ns0:rPr>
              <ns0:t>PPR percentage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One reviewed group receives 100%; no split.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High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66%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Complete 1980 canonical export proportions, including zero candidates.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Medium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23%</ns0:t>
            </ns0:r>
          </ns0:p>
        </ns0:tc>
      </ns0:tr>
      <ns0:tr>
        <ns0:trPr>
          <ns0:cantSplit/>
          <ns0:cantSplit/>
        </ns0:trPr>
        <ns0:tc>
          <ns0:tcPr>
            <ns0:tcW ns0:type="dxa" ns0:w="6624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</ns0:pPr>
            <ns0:r>
              <ns0:t>Retained historical identified-catch proxy with population mismatch.</ns0:t>
            </ns0:r>
          </ns0:p>
        </ns0:tc>
        <ns0:tc>
          <ns0:tcPr>
            <ns0:tcW ns0:type="dxa" ns0:w="151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Low</ns0:t>
            </ns0:r>
          </ns0:p>
        </ns0:tc>
        <ns0:tc>
          <ns0:tcPr>
            <ns0:tcW ns0:type="dxa" ns0:w="1872"/>
            <ns0:shd ns0:fill="FFFFFF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75" ns0:type="dxa"/>
              <ns0:left ns0:w="75" ns0:type="dxa"/>
              <ns0:bottom ns0:w="75" ns0:type="dxa"/>
              <ns0:right ns0:w="75" ns0:type="dxa"/>
            </ns0:tcMar>
          </ns0:tcPr>
          <ns0:p>
            <ns0:pPr>
              <ns0:spacing ns0:after="40" ns0:before="40"/>
              <ns0:jc ns0:val="center"/>
            </ns0:pPr>
            <ns0:r>
              <ns0:t>10%</ns0:t>
            </ns0:r>
          </ns0:p>
        </ns0:tc>
      </ns0:tr>
    </ns0:tbl>
    <ns0:p>
      <ns0:pPr>
        <ns0:keepNext ns0:val="0"/>
        <ns0:pageBreakBefore ns0:val="0"/>
        <ns0:spacing ns0:after="120"/>
      </ns0:pPr>
      <ns0:r>
        <ns0:t xml:space="preserve">Each percentage is the independent simple-chain PPR associated with taxa using that rule. The 1980 model-catch proportions, including zero candidates, are fixed composition proxies. Historical identified-catch proxies remain Low because donor populations and gear differ. </ns0:t>
      </ns0:r>
      <ns0:hyperlink ns2:id="rId25">
        <ns0:r>
          <ns0:rPr>
            <ns0:color ns0:val="0563C1"/>
            <ns0:u ns0:val="single"/>
          </ns0:rPr>
          <ns0:t>Weights and donor evidence</ns0:t>
        </ns0:r>
      </ns0:hyperlink>
    </ns0:p>
    <ns0:p>
      <ns0:pPr>
        <ns0:keepNext ns0:val="0"/>
        <ns0:pageBreakBefore ns0:val="0"/>
        <ns0:spacing ns0:after="120"/>
      </ns0:pPr>
      <ns0:r>
        <ns0:t xml:space="preserve">Unresolved taxa: none. The 34 Very low decisions cover 12.9493% of landings and 12.0040% of simple-chain PPR. Their specific uncertainties appear below. Very low decisions contribute 14.12% of GE, 12.01% of TE and 13.86% of With Egestion all-source PPR; Carangidae alone contributes 7.93% of GE. </ns0:t>
      </ns0:r>
      <ns0:hyperlink ns2:id="rId26">
        <ns0:r>
          <ns0:rPr>
            <ns0:color ns0:val="0563C1"/>
            <ns0:u ns0:val="single"/>
          </ns0:rPr>
          <ns0:t>Method-specific exposure</ns0:t>
        </ns0:r>
      </ns0:hyperlink>
    </ns0:p>
    <ns0:p>
      <ns0:pPr>
        <ns0:keepNext/>
        <ns0:pageBreakBefore ns0:val="0"/>
        <ns0:spacing ns0:after="120"/>
      </ns0:pPr>
      <ns0:r>
        <ns0:rPr>
          <ns0:rFonts ns0:ascii="Calibri" ns0:hAnsi="Calibri"/>
          <ns0:b/>
          <ns0:color ns0:val="000000"/>
          <ns0:sz ns0:val="23"/>
        </ns0:rPr>
        <ns0:t xml:space="preserve">Very low decisions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</ns0:tblPr>
      <ns0:tblGrid>
        <ns0:gridCol ns0:w="3298"/>
        <ns0:gridCol ns0:w="6710"/>
      </ns0:tblGrid>
      <ns0:tr>
        <ns0:trPr>
          <ns0:cantSplit/>
          <ns0:tblHeader/>
        </ns0:trPr>
        <ns0:tc>
          <ns0:tcPr>
            <ns0:tcW ns0:type="dxa" ns0:w="3298"/>
            <ns0:vAlign ns0:val="center"/>
            <ns0:shd ns0:fill="E5ECF0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b/>
                <ns0:sz ns0:val="21"/>
              </ns0:rPr>
              <ns0:t>Affected taxa</ns0:t>
            </ns0:r>
          </ns0:p>
        </ns0:tc>
        <ns0:tc>
          <ns0:tcPr>
            <ns0:tcW ns0:type="dxa" ns0:w="6710"/>
            <ns0:vAlign ns0:val="center"/>
            <ns0:shd ns0:fill="E5ECF0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b/>
                <ns0:sz ns0:val="21"/>
              </ns0:rPr>
              <ns0:t>Why confidence is very low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Carangidae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Scad explicitly includes Decapterus; larger predators use the large-piscivore stage pair as an analogue. The reported jacks/pompanos mixture is unknown. Model-catch proportions assume fixed 1980 composition.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Marine fishes not identified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Unidentified bony fish may span named, residual and juvenile pools. Separate reported categories do not establish exclusions; species and stage composition is unknown. Model-catch proportions are a fixed 1980 proxy.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Serranidae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The historical basses/groupers category includes Epinephelus, now Epinephelidae, while other basses are unlisted. The grouper/snapper stage union is a proxy for an unresolved taxonomic and feeding mixture; model-catch proportions are assumed.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Alepes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Scad provides a coastal schooling Decapterus connection, but reef habitat, feeding and species composition differ. No direct source membership is documented; the whole taxon is placed in Scad.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Marine groundfishes not identified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Plausible demersal and juvenile pools are retained, but the large-piscivore pool also contains pelagic Chirocentrus/Sphyraena. Unknown residual composition and mixed guilds require fixed 1980 model-catch proportions.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Caesio; Caesionidae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Small pelagics provides a coastal schooling sardine/anchovy connection. Reef habitat, feeding and species composition differ; fusiliers are not directly named. The whole taxon is placed in that analogue.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Acanthurus; Mugil; Mugilidae; Scarus; Scatophagus; Scatophagus argus; Siganidae; Siganus; Siganus canaliculatus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These unlisted coastal herbivores/omnivores have a residual-catch connection to O.fish (trash fish). Its species composition and feeding fit are unverified. Named piscivore/benthivore pools offer weaker connections; each whole taxon is assigned to O.fish.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Perciformes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The historical perch-like reporting category spans scombrids, carangids and reef/demersal guilds; the current narrow order does not define that mixture. Source piscivore pools also include other orders. Model-catch proportions assume fixed composition.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Chondrichthyes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Shark stages and rays approximate the reporting category; chimaeras have no documented source group. Species/stage composition is unknown. Historical whole-guild donor fractions have country, gear and period mismatches and remain Low allocation proxies.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Decapoda; Malacostraca; Miscellaneous aquatic invertebrates; Miscellaneous marine crustaceans; Mollusca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Compatible named invertebrate, benthic and planktonic stage pools provide a practical connection. The full reported composition is unenumerated, so eligible pools and species/stage mix are approximate. Fixed 1980 model-catch proportions are assumed.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Coryphaena hippurus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The large-predator stage pair connects to source coastal piscivores, but dolphinfish is unlisted and Tuna is a plausible competing pelagic analogue. Surface habitat and source composition differ. The accepted stage split uses fixed 1980 model-catch proportions.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Istiompax indica; Istiophoridae; Istiophorus; Istiophorus platypterus; Kajikia audax; Makaira; Makaira mazara; Tetrapturus angustirostris; Xiphias gladius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The 1993 predecessor places billfish with tuna in Large pelagics, supporting a crosswalk to focal Tuna. Focal members are coastal tuna examples; oceanic/deeper habitat and narrower taxonomy limit the analogy. No focal billfish membership or donor coefficients are implied.</ns0:t>
            </ns0:r>
          </ns0:p>
        </ns0:tc>
      </ns0:tr>
      <ns0:tr>
        <ns0:trPr>
          <ns0:cantSplit/>
        </ns0:trPr>
        <ns0:tc>
          <ns0:tcPr>
            <ns0:tcW ns0:type="dxa" ns0:w="3298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Marine pelagic fishes not identified</ns0:t>
            </ns0:r>
          </ns0:p>
        </ns0:tc>
        <ns0:tc>
          <ns0:tcPr>
            <ns0:tcW ns0:type="dxa" ns0:w="6710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rPr>
                <ns0:rFonts ns0:ascii="Calibri" ns0:hAnsi="Calibri"/>
                <ns0:sz ns0:val="21"/>
              </ns0:rPr>
              <ns0:t xml:space="preserve">Named pelagic pools and mixed guilds containing Chirocentrus/Sphyraena or Pampus provide positive source connections. The full residual species/stage mixture is unknown; explicit demersal exclusions do not remove mixed-guild uncertainty. Fixed 1980 model-catch proportions are assumed.</ns0:t>
            </ns0:r>
          </ns0:p>
        </ns0:tc>
      </ns0:tr>
    </ns0:tbl>
    <ns0:p>
      <ns0:r>
        <ns0:br ns0:type="page"/>
      </ns0:r>
    </ns0:p>
    <ns0:p>
      <ns0:pPr>
        <ns0:pStyle ns0:val="Title"/>
        <ns0:pageBreakBefore/>
        <ns0:keepNext/>
        <ns0:pageBreakBefore/>
      </ns0:pPr>
      <ns0:r>
        <ns0:t>Geographic evidence screenshots</ns0:t>
      </ns0:r>
    </ns0:p>
    <ns0:p>
      <ns0:pPr>
        <ns0:spacing ns0:after="40" ns0:before="0" ns0:line="240" ns0:lineRule="auto"/>
      </ns0:pPr>
      <ns0:r>
        <ns0:t xml:space="preserve">Target region R is the Sea Around Us LME. The focal source specifies a 10–50 m shelf domain, but its original study boundary is unavailable. Pauly &amp; Chuenpagdee (2003), Figure 14-1, provides contextual geography; its illustrative trace does not establish the focal study extent.</ns0:t>
      </ns0:r>
    </ns0:p>
    <ns0:p>
      <ns0:pPr>
        <ns0:pStyle ns0:val="Heading2"/>
        <ns0:keepNext/>
      </ns0:pPr>
      <ns0:r>
        <ns0:t>Region area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</ns0:tblPr>
      <ns0:tblGrid>
        <ns0:gridCol ns0:w="10037"/>
      </ns0:tblGrid>
      <ns0:tr>
        <ns0:trPr>
          <ns0:cantSplit/>
          <ns0:tblHeader/>
          <ns0:tblHeader/>
          <ns0:cantSplit/>
        </ns0:trPr>
        <ns0:tc>
          <ns0:tcPr>
            <ns0:tcW ns0:type="dxa" ns0:w="10037"/>
            <ns0:vAlign ns0:val="center"/>
            <ns0:shd ns0:fill="E5ECF0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t>Gulf of Thailand target and shelf context</ns0:t>
            </ns0:r>
          </ns0:p>
        </ns0:tc>
      </ns0:tr>
      <ns0:tr>
        <ns0:trPr>
          <ns0:cantSplit/>
          <ns0:trHeight ns0:val="2880" ns0:hRule="atLeast"/>
          <ns0:cantSplit/>
        </ns0:trPr>
        <ns0:tc>
          <ns0:tcPr>
            <ns0:tcW ns0:type="dxa" ns0:w="10037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/>
            <ns0:r>
              <ns0:drawing>
                <ns3:inline>
                  <ns3:extent cx="4572000" cy="4328160"/>
                  <ns3:docPr id="1" name="Picture 1"/>
                  <ns3:cNvGraphicFramePr>
                    <ns4:graphicFrameLocks noChangeAspect="1"/>
                  </ns3:cNvGraphicFramePr>
                  <ns4:graphic>
                    <ns4:graphicData uri="http://schemas.openxmlformats.org/drawingml/2006/picture">
                      <ns5:pic>
                        <ns5:nvPicPr>
                          <ns5:cNvPr id="0" name="target_region.png"/>
                          <ns5:cNvPicPr/>
                        </ns5:nvPicPr>
                        <ns5:blipFill>
                          <ns4:blip ns2:embed="rId27"/>
                          <ns4:stretch>
                            <ns4:fillRect/>
                          </ns4:stretch>
                        </ns5:blipFill>
                        <ns5:spPr>
                          <ns4:xfrm>
                            <ns4:off x="0" y="0"/>
                            <ns4:ext cx="4572000" cy="4328160"/>
                          </ns4:xfrm>
                          <ns4:prstGeom prst="rect"/>
                        </ns5:spPr>
                      </ns5:pic>
                    </ns4:graphicData>
                  </ns4:graphic>
                </ns3:inline>
              </ns0:drawing>
            </ns0:r>
          </ns0:p>
        </ns0:tc>
      </ns0:tr>
    </ns0:tbl>
    <ns0:p>
      <ns0:pPr>
        <ns0:spacing ns0:after="40" ns0:before="0" ns0:line="240" ns0:lineRule="auto"/>
      </ns0:pPr>
      <ns0:r>
        <ns0:t xml:space="preserve">Target R: 387,239 km². Blue shows the target; orange shows an approximate contextual shelf trace within the lineage map boundary. Coastline and islands are simplified. </ns0:t>
      </ns0:r>
      <ns0:r>
        <ns0:t xml:space="preserve"> </ns0:t>
      </ns0:r>
      <ns0:hyperlink ns2:id="rId28">
        <ns0:r>
          <ns0:rPr>
            <ns0:color ns0:val="0563C1"/>
            <ns0:u ns0:val="single"/>
          </ns0:rPr>
          <ns0:t>Target polygon</ns0:t>
        </ns0:r>
      </ns0:hyperlink>
      <ns0:r>
        <ns0:t xml:space="preserve"> | </ns0:t>
      </ns0:r>
      <ns0:hyperlink ns2:id="rId29">
        <ns0:r>
          <ns0:rPr>
            <ns0:color ns0:val="0563C1"/>
            <ns0:u ns0:val="single"/>
          </ns0:rPr>
          <ns0:t>Context trace</ns0:t>
        </ns0:r>
      </ns0:hyperlink>
    </ns0:p>
    <ns0:p>
      <ns0:pPr>
        <ns0:pStyle ns0:val="Heading2"/>
        <ns0:keepNext/>
        <ns0:pageBreakBefore/>
      </ns0:pPr>
      <ns0:r>
        <ns0:t>Study area in the article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</ns0:tblPr>
      <ns0:tblGrid>
        <ns0:gridCol ns0:w="10037"/>
      </ns0:tblGrid>
      <ns0:tr>
        <ns0:trPr>
          <ns0:cantSplit/>
          <ns0:tblHeader/>
          <ns0:tblHeader/>
          <ns0:cantSplit/>
        </ns0:trPr>
        <ns0:tc>
          <ns0:tcPr>
            <ns0:tcW ns0:type="dxa" ns0:w="10037"/>
            <ns0:vAlign ns0:val="center"/>
            <ns0:shd ns0:fill="E5ECF0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/>
            </ns0:pPr>
            <ns0:r>
              <ns0:t>Illustrative depth context from lineage map</ns0:t>
            </ns0:r>
          </ns0:p>
        </ns0:tc>
      </ns0:tr>
      <ns0:tr>
        <ns0:trPr>
          <ns0:cantSplit/>
          <ns0:trHeight ns0:val="2880" ns0:hRule="atLeast"/>
          <ns0:cantSplit/>
        </ns0:trPr>
        <ns0:tc>
          <ns0:tcPr>
            <ns0:tcW ns0:type="dxa" ns0:w="10037"/>
            <ns0:vAlign ns0:val="center"/>
            <ns0:shd ns0:fill="FFFFFF"/>
            <ns0:tcMar>
              <ns0:top ns0:w="90" ns0:type="dxa"/>
              <ns0:bottom ns0:w="90" ns0:type="dxa"/>
              <ns0:left ns0:w="110" ns0:type="dxa"/>
              <ns0:right ns0:w="110" ns0:type="dxa"/>
            </ns0:tcMar>
            <ns0:tcBorders>
              <ns0:top ns0:val="single" ns0:sz="5" ns0:color="D9D9D9"/>
              <ns0:left ns0:val="single" ns0:sz="5" ns0:color="D9D9D9"/>
              <ns0:bottom ns0:val="single" ns0:sz="5" ns0:color="D9D9D9"/>
              <ns0:right ns0:val="single" ns0:sz="5" ns0:color="D9D9D9"/>
            </ns0:tcBorders>
          </ns0:tcPr>
          <ns0:p>
            <ns0:pPr>
              <ns0:spacing ns0:after="40" ns0:before="0" ns0:line="240" ns0:lineRule="auto"/>
            </ns0:pPr>
            <ns0:r/>
            <ns0:r>
              <ns0:drawing>
                <ns3:inline>
                  <ns3:extent cx="4572000" cy="4328160"/>
                  <ns3:docPr id="2" name="Picture 2"/>
                  <ns3:cNvGraphicFramePr>
                    <ns4:graphicFrameLocks noChangeAspect="1"/>
                  </ns3:cNvGraphicFramePr>
                  <ns4:graphic>
                    <ns4:graphicData uri="http://schemas.openxmlformats.org/drawingml/2006/picture">
                      <ns5:pic>
                        <ns5:nvPicPr>
                          <ns5:cNvPr id="0" name="target_region.png"/>
                          <ns5:cNvPicPr/>
                        </ns5:nvPicPr>
                        <ns5:blipFill>
                          <ns4:blip ns2:embed="rId27"/>
                          <ns4:stretch>
                            <ns4:fillRect/>
                          </ns4:stretch>
                        </ns5:blipFill>
                        <ns5:spPr>
                          <ns4:xfrm>
                            <ns4:off x="0" y="0"/>
                            <ns4:ext cx="4572000" cy="4328160"/>
                          </ns4:xfrm>
                          <ns4:prstGeom prst="rect"/>
                        </ns5:spPr>
                      </ns5:pic>
                    </ns4:graphicData>
                  </ns4:graphic>
                </ns3:inline>
              </ns0:drawing>
            </ns0:r>
          </ns0:p>
        </ns0:tc>
      </ns0:tr>
    </ns0:tbl>
    <ns0:p>
      <ns0:pPr>
        <ns0:spacing ns0:after="40" ns0:before="0" ns0:line="240" ns0:lineRule="auto"/>
      </ns0:pPr>
      <ns0:r>
        <ns0:t xml:space="preserve">Contextual trace: 112,695 km²; intersection: 102,520 km². Contextual A ≈ 26.5%; B ≈ 91.0%. The reported larger 0–50 m band (≈150,000 km², ≈38.7% of R) is separate area context. Neither identifies the missing focal 10 m boundary or full study extent. </ns0:t>
      </ns0:r>
      <ns0:r>
        <ns0:t xml:space="preserve"> </ns0:t>
      </ns0:r>
      <ns0:hyperlink ns2:id="rId30">
        <ns0:r>
          <ns0:rPr>
            <ns0:color ns0:val="0563C1"/>
            <ns0:u ns0:val="single"/>
          </ns0:rPr>
          <ns0:t>Lineage Figure14-1</ns0:t>
        </ns0:r>
      </ns0:hyperlink>
      <ns0:r>
        <ns0:t xml:space="preserve"> | </ns0:t>
      </ns0:r>
      <ns0:hyperlink ns2:id="rId31">
        <ns0:r>
          <ns0:rPr>
            <ns0:color ns0:val="0563C1"/>
            <ns0:u ns0:val="single"/>
          </ns0:rPr>
          <ns0:t>Calibration and limits</ns0:t>
        </ns0:r>
      </ns0:hyperlink>
    </ns0:p>
    <ns0:p>
      <ns0:pPr>
        <ns0:pageBreakBefore/>
        <ns0:spacing ns0:after="40" ns0:before="0" ns0:line="240" ns0:lineRule="auto"/>
      </ns0:pPr>
      <ns0:r>
        <ns0:t xml:space="preserve">Contextual Figure 14-1 from Pauly &amp; Chuenpagdee (2003), printed p.338 / PDF p.2. Its 50 m contour and angular location boundary do not constitute the original focal study map.</ns0:t>
      </ns0:r>
      <ns0:r>
        <ns0:drawing>
          <ns3:inline>
            <ns3:extent cx="4572000" cy="5647765"/>
            <ns3:docPr id="3" name="Picture 3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source_figure14_1_cropped.png"/>
                    <ns5:cNvPicPr/>
                  </ns5:nvPicPr>
                  <ns5:blipFill>
                    <ns4:blip ns2:embed="rId32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572000" cy="5647765"/>
                    </ns4:xfrm>
                    <ns4:prstGeom prst="rect"/>
                  </ns5:spPr>
                </ns5:pic>
              </ns4:graphicData>
            </ns4:graphic>
          </ns3:inline>
        </ns0:drawing>
      </ns0:r>
    </ns0:p>
    <ns0:sectPr ns0:rsidR="00FC693F" ns0:rsidRPr="0006063C" ns0:rsidSect="00034616">
      <ns0:type ns0:val="nextPage"/>
      <ns0:pgSz ns0:w="11909" ns0:h="16834"/>
      <ns0:pgMar ns0:top="936" ns0:right="936" ns0:bottom="936" ns0:left="936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ns0:Relationship Id="rId9" Type="http://schemas.openxmlformats.org/officeDocument/2006/relationships/hyperlink" Target="../../../../../LME_035.xlsx" TargetMode="External" /><ns0:Relationship Id="rId10" Type="http://schemas.openxmlformats.org/officeDocument/2006/relationships/hyperlink" Target="../../../../../raw/catch/LME_035-catch.zip" TargetMode="External" /><ns0:Relationship Id="rId11" Type="http://schemas.openxmlformats.org/officeDocument/2006/relationships/hyperlink" Target="https://doi.org/10.1111/j.1095-8649.1998.tb01023.x" TargetMode="External" /><ns0:Relationship Id="rId12" Type="http://schemas.openxmlformats.org/officeDocument/2006/relationships/hyperlink" Target="https://www.academia.edu/1483062/Fishery_induced_changes_in_a_marine_ecosystem_insight_from_models_of_the_Gulf_of_Thailand" TargetMode="External" /><ns0:Relationship Id="rId13" Type="http://schemas.openxmlformats.org/officeDocument/2006/relationships/hyperlink" Target="../../../sources/source-facts.json" TargetMode="External" /><ns0:Relationship Id="rId14" Type="http://schemas.openxmlformats.org/officeDocument/2006/relationships/hyperlink" Target="evidence/source_review/independent_review/Pauly_Christensen_1993.pdf" TargetMode="External" /><ns0:Relationship Id="rId15" Type="http://schemas.openxmlformats.org/officeDocument/2006/relationships/hyperlink" Target="../../../../GOT-2003" TargetMode="External" /><ns0:Relationship Id="rId16" Type="http://schemas.openxmlformats.org/officeDocument/2006/relationships/hyperlink" Target="../../../../LME035-Premcharoen-2012" TargetMode="External" /><ns0:Relationship Id="rId17" Type="http://schemas.openxmlformats.org/officeDocument/2006/relationships/hyperlink" Target="../model.json" TargetMode="External" /><ns0:Relationship Id="rId18" Type="http://schemas.openxmlformats.org/officeDocument/2006/relationships/hyperlink" Target="evidence/source_review/source_fidelity_review.json" TargetMode="External" /><ns0:Relationship Id="rId19" Type="http://schemas.openxmlformats.org/officeDocument/2006/relationships/hyperlink" Target="evidence/source_review/source_review.md" TargetMode="External" /><ns0:Relationship Id="rId20" Type="http://schemas.openxmlformats.org/officeDocument/2006/relationships/hyperlink" Target="evidence/source_review/matrix_inspection.json" TargetMode="External" /><ns0:Relationship Id="rId21" Type="http://schemas.openxmlformats.org/officeDocument/2006/relationships/hyperlink" Target="taxon_mapping.xlsx" TargetMode="External" /><ns0:Relationship Id="rId22" Type="http://schemas.openxmlformats.org/officeDocument/2006/relationships/hyperlink" Target="taxon_mapping.xlsx#Sources%21A1" TargetMode="External" /><ns0:Relationship Id="rId23" Type="http://schemas.openxmlformats.org/officeDocument/2006/relationships/hyperlink" Target="evidence/source_review/independent_review/Pauly_Christensen_1993.pdf#page=19" TargetMode="External" /><ns0:Relationship Id="rId24" Type="http://schemas.openxmlformats.org/officeDocument/2006/relationships/hyperlink" Target="evidence/source_review/taxon_audit.json" TargetMode="External" /><ns0:Relationship Id="rId25" Type="http://schemas.openxmlformats.org/officeDocument/2006/relationships/hyperlink" Target="evidence/source_review/candidate_and_allocation_evidence.json" TargetMode="External" /><ns0:Relationship Id="rId26" Type="http://schemas.openxmlformats.org/officeDocument/2006/relationships/hyperlink" Target="evidence/source_review/method_specific_mapping_exposure.json" TargetMode="External" /><ns0:Relationship Id="rId27" Type="http://schemas.openxmlformats.org/officeDocument/2006/relationships/image" Target="media/image1.png" /><ns0:Relationship Id="rId28" Type="http://schemas.openxmlformats.org/officeDocument/2006/relationships/hyperlink" Target="evidence/source_review/geography/target_region.geojson" TargetMode="External" /><ns0:Relationship Id="rId29" Type="http://schemas.openxmlformats.org/officeDocument/2006/relationships/hyperlink" Target="evidence/source_review/geography/contextual_0_50m_shelf_trace.geojson" TargetMode="External" /><ns0:Relationship Id="rId30" Type="http://schemas.openxmlformats.org/officeDocument/2006/relationships/hyperlink" Target="../../../sources/Pauly-Chuenpagdee-2003.pdf#page=2" TargetMode="External" /><ns0:Relationship Id="rId31" Type="http://schemas.openxmlformats.org/officeDocument/2006/relationships/hyperlink" Target="evidence/source_review/geography/geographic_assessment.json" TargetMode="External" /><ns0:Relationship Id="rId32" Type="http://schemas.openxmlformats.org/officeDocument/2006/relationships/image" Target="media/image2.png" /><ns0:Relationship Id="rIdModelNotes" Type="http://schemas.openxmlformats.org/officeDocument/2006/relationships/hyperlink" Target="../model_notes.md" TargetMode="Externa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