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[Region name | identifier | Regional workbook]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[Provider; catch years; catch basis; date/version]</w:t>
              <w:br/>
              <w:t xml:space="preserve">[Region | Catch files]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[Authors (year). Title.]</w:t>
              <w:br/>
              <w:t xml:space="preserve">[DOI | Paper PDF | Paper folder]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[Author/year; short title; DOI or local record — one entry per article]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[Exact model ID/name; period; domain; source groups]</w:t>
              <w:br/>
              <w:t xml:space="preserve">[Folder | JSON | Saved runtime, if relevant]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[Other model: period; area; distinguishing features — one entry per model]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Article — [documented reason, or ?]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Model — [documented reason, or ?]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[Source reconstruction report]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[Material source conflicts; treatment | Conflict report]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[Diet sums: discrepancy and treatment, if relevant]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[Missing/default GS; derived BA; other material changes]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[Negative SPPR: each source column (name/ID) → affected groups (names/IDs); or None.]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rho_living = [value]; b = [value].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Detritus [pool name/ID]: SPPR = [value].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[Negative SPPR: each source column (name/ID) → affected groups (names/IDs); or None.]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rho_living = [value].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Detritus [pool name/ID]: SPPR = [value].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A. Region covered by study: [value or range]%.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B. Study area covered by region: [value or range]%.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 = 100 × overlap / region area; B = 100 × overlap / study area.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[Calculated / approximate digitization / visual estimate; source and basis. Figures below.]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[Model period; catch years; material implications of applying fixed coefficients or weights across years.]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[MANUAL — Researcher: open issue and consequence]</w:t>
              <w:br/>
              <w:t>[Researcher: next action / priority]</w:t>
              <w:br/>
              <w:t>[Researcher: relevant .md report hyperlink, if available]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[MANUAL — Researcher name: ___ | review date: ___]</w:t>
              <w:br/>
              <w:t>[Researcher: review decision and limitations]</w:t>
              <w:br/>
              <w:t>[Researcher: reviewed input/version and configuration]</w:t>
              <w:br/>
              <w:t>[Researcher: reproducibility evidence/report hyperlink]</w:t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Reference: [year and catch basis]; [scope, unidentified treatment and group/taxon filters].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[n] source groups [+ synthetic imports separately]; [n] catch taxa; catch [t]; known simple-chain PPR [t C]. [Missing coefficients and affected catch share, if any.]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</w:r>
      <w:hyperlink r:id="rIdValidation1">
        <w:r>
          <w:rPr>
            <w:color w:val="175E72"/>
            <w:u w:val="single"/>
          </w:rPr>
          <w:t>[Linked Excel taxon appendix and descriptive Sources sheet]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[n]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[n]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[n]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[n]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[n]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</w:tbl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[Rules in descending PPR coverage; highest first]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[Level]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662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[Continue in descending order; include unresolved if used]</w:t>
            </w:r>
          </w:p>
        </w:tc>
        <w:tc>
          <w:tcPr>
            <w:tcW w:type="dxa" w:w="151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[Level]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[Add a Sum row only if the PPR percentages do not total 100%; otherwise omit it.]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[Every actual allocation rule in full words]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[Level]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662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[Unresolved or not applicable where used]</w:t>
            </w:r>
          </w:p>
        </w:tc>
        <w:tc>
          <w:tcPr>
            <w:tcW w:type="dxa" w:w="151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[Level]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[%]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Each table covers the same known simple-chain PPR universe once. Percentages describe taxa using each rule; mapping weights do not generate classic PPR. Do not add the two tables. [Describe assumptions and link full sources.]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[Unresolved taxa: name each and give a short reason, or state none. Very low decisions: group by assumption, name the taxa or link exact appendix rows, and give their catch/PPR share. Scientific findings only; keep workflow and verification details in supporting records.]</w:t>
      </w:r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rPr>
          <w:rFonts w:ascii="Calibri" w:hAnsi="Calibri"/>
          <w:sz w:val="21"/>
          <w:color w:val="000000"/>
        </w:rPr>
        <w:t xml:space="preserve">Target region R and selected model study area S. [Overlap method and approximation, if applicable.]</w:t>
      </w:r>
    </w:p>
    <w:p>
      <w:pPr>
        <w:pStyle w:val="Heading2"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>
        <w:trPr>
          <w:cantSplit/>
          <w:trHeight w:val="2880" w:hRule="atLeast"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[Insert readable boundary image]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[Region name/ID; boundary source/version | Source | Image]</w:t>
      </w:r>
    </w:p>
    <w:p>
      <w:pPr>
        <w:pStyle w:val="Heading2"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>
        <w:trPr>
          <w:cantSplit/>
          <w:trHeight w:val="2880" w:hRule="atLeast"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[Insert readable boundary image]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[Article; figure/page; represented model area | Source PDF | Image]</w:t>
      </w:r>
    </w:p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[If a figure is unavailable, state the missing source or reason.]</w:t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