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14="http://schemas.microsoft.com/office/word/2010/wordml" xmlns:wp14="http://schemas.microsoft.com/office/word/2010/wordprocessingDrawing" ns1:Ignorable="w14 wp14">
  <ns0:body>
    <ns0:p>
      <ns0:pPr>
        <ns0:pStyle ns0:val="Title"/>
      </ns0:pPr>
      <ns0:r>
        <ns0:t>Sulu Celebes Sea model validation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2203"/>
        <ns0:gridCol ns0:w="7834"/>
      </ns0:tblGrid>
      <ns0:tr>
        <ns0:trPr>
          <ns0:cantSplit/>
          <ns0:tblHeader/>
          <ns0:tblHeader/>
          <ns0:cantSplit/>
        </ns0:trPr>
        <ns0:tc>
          <ns0:tcPr>
            <ns0:tcW ns0:type="dxa" ns0:w="2203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Field</ns0:t>
            </ns0:r>
          </ns0:p>
        </ns0:tc>
        <ns0:tc>
          <ns0:tcPr>
            <ns0:tcW ns0:type="dxa" ns0:w="7834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  <ns0:b/>
              </ns0:rPr>
              <ns0:t xml:space="preserve">Entry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Region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Sulu-Celebes Sea, LME_037; Sea Around Us target boundary.</ns0:t>
            </ns0:r>
            <ns0:r>
              <ns0:t xml:space="preserve"> </ns0:t>
            </ns0:r>
            <ns0:hyperlink ns2:id="rId9">
              <ns0:r>
                <ns0:rPr>
                  <ns0:color ns0:val="0563C1"/>
                  <ns0:u ns0:val="single"/>
                </ns0:rPr>
                <ns0:t>Regional workbook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Catch source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Sea Around Us v50.1, 1950–2019. Reference: 2019 landings, including reported and unreported retained catch; discards separate.</ns0:t>
            </ns0:r>
            <ns0:r>
              <ns0:t xml:space="preserve"> </ns0:t>
            </ns0:r>
            <ns0:hyperlink ns2:id="rId10">
              <ns0:r>
                <ns0:rPr>
                  <ns0:color ns0:val="0563C1"/>
                  <ns0:u ns0:val="single"/>
                </ns0:rPr>
                <ns0:t>Raw catch</ns0:t>
              </ns0:r>
            </ns0:hyperlink>
            <ns0:r>
              <ns0:t xml:space="preserve"> | </ns0:t>
            </ns0:r>
            <ns0:hyperlink ns2:id="rId11">
              <ns0:r>
                <ns0:rPr>
                  <ns0:color ns0:val="0563C1"/>
                  <ns0:u ns0:val="single"/>
                </ns0:rPr>
                <ns0:t>Taxon and TL source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Selected article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Bacalso, Wolff, Romagnoni &amp; Fujitani (2026), Ecological and economic perspectives of two decades of change in a traditional fishing ground in the Philippines. Ocean &amp; Coastal Management 273, 108027; DOI 10.1016/j.ocecoaman.2025.108027. Online 2025; journal 2026.</ns0:t>
            </ns0:r>
            <ns0:r>
              <ns0:t xml:space="preserve"> </ns0:t>
            </ns0:r>
            <ns0:hyperlink ns2:id="rId12">
              <ns0:r>
                <ns0:rPr>
                  <ns0:color ns0:val="0563C1"/>
                  <ns0:u ns0:val="single"/>
                </ns0:rPr>
                <ns0:t>Main paper</ns0:t>
              </ns0:r>
            </ns0:hyperlink>
            <ns0:r>
              <ns0:t xml:space="preserve"> | </ns0:t>
            </ns0:r>
            <ns0:hyperlink ns2:id="rId13">
              <ns0:r>
                <ns0:rPr>
                  <ns0:color ns0:val="0563C1"/>
                  <ns0:u ns0:val="single"/>
                </ns0:rPr>
                <ns0:t>Supplement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Other known articles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Bacalso et al. (2023), Frontiers in Marine Science, DOI 10.3389/fmars.2023.1099400, is the verified baseline predecessor. Its official supplement supplies the 1997 diet and catch lineage; it is not an independent alternative model substituted here.</ns0:t>
            </ns0:r>
            <ns0:r>
              <ns0:t xml:space="preserve"> </ns0:t>
            </ns0:r>
            <ns0:hyperlink ns2:id="rId14">
              <ns0:r>
                <ns0:rPr>
                  <ns0:color ns0:val="0563C1"/>
                  <ns0:u ns0:val="single"/>
                </ns0:rPr>
                <ns0:t>Predecessor</ns0:t>
              </ns0:r>
            </ns0:hyperlink>
            <ns0:r>
              <ns0:t xml:space="preserve"> | </ns0:t>
            </ns0:r>
            <ns0:hyperlink ns2:id="rId15">
              <ns0:r>
                <ns0:rPr>
                  <ns0:color ns0:val="0563C1"/>
                  <ns0:u ns0:val="single"/>
                </ns0:rPr>
                <ns0:t>Official supplement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Selected model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Bacalso2026_Visayan_Sea_1997_baseline; 1997 Visayan Sea municipal and commercial waters, 16,728.5 km². 33 ecological source groups plus synthetic diet_import 34. Local study transferred to the 1,013,866 km² Sulu-Celebes target.</ns0:t>
            </ns0:r>
            <ns0:r>
              <ns0:t xml:space="preserve"> </ns0:t>
            </ns0:r>
            <ns0:hyperlink ns2:id="rId16">
              <ns0:r>
                <ns0:rPr>
                  <ns0:color ns0:val="0563C1"/>
                  <ns0:u ns0:val="single"/>
                </ns0:rPr>
                <ns0:t>Selected JSON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  <ns0:b/>
              </ns0:rPr>
              <ns0:t xml:space="preserve">Other models from the same article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The paper compares the 1997 baseline with a 2018 Ecosim endpoint. The endpoint lacks its realized diet/flow, catch and accumulation export and has censored group 15 biomass; it remains unselected and NOT_RUN. Stage pairs are already components of the baseline, not additional model versions.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Selection rationale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Article: ? (separate article-choice rationale unrecorded). Model: selected under the instruction to select all top-25 regions except LME_048 and EEZ_938. Available baseline uses verified 2023 diet/catch lineage and matching 2026 parameter cells; spatial suitability and production admission remain unresolved. The 2018 endpoint remains NOT_RUN.</ns0:t>
            </ns0:r>
            <ns0:r>
              <ns0:t xml:space="preserve"> </ns0:t>
            </ns0:r>
            <ns0:hyperlink ns2:id="rId17">
              <ns0:r>
                <ns0:rPr>
                  <ns0:color ns0:val="0563C1"/>
                  <ns0:u ns0:val="single"/>
                </ns0:rPr>
                <ns0:t>Recorded rationale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Model extraction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All 191 populated 2026 Table 1 cells match accepted full-area parameters after the documented reef conversion. Diet/catch lineage matches the 2023 supplement. Accepted diet sums and unknown fields remain; runtime uses GS 0.2, living accumulation/import/migration 0, DC tolerance 0.0021 without normalization, and single-detritus routing. Detritus EE 0.44→1 and derived accumulation remain accounting assumptions.</ns0:t>
            </ns0:r>
            <ns0:r>
              <ns0:t xml:space="preserve"> </ns0:t>
            </ns0:r>
            <ns0:hyperlink ns2:id="rId18">
              <ns0:r>
                <ns0:rPr>
                  <ns0:color ns0:val="0563C1"/>
                  <ns0:u ns0:val="single"/>
                </ns0:rPr>
                <ns0:t>Source review</ns0:t>
              </ns0:r>
            </ns0:hyperlink>
            <ns0:r>
              <ns0:t xml:space="preserve"> | </ns0:t>
            </ns0:r>
            <ns0:hyperlink ns2:id="rId19">
              <ns0:r>
                <ns0:rPr>
                  <ns0:color ns0:val="0563C1"/>
                  <ns0:u ns0:val="single"/>
                </ns0:rPr>
                <ns0:t>Cell comparison</ns0:t>
              </ns0:r>
            </ns0:hyperlink>
          </ns0:p>
          <ns0:p>
            <ns0:r>
              <ns0:t>Retained departures and evidence limits: </ns0:t>
            </ns0:r>
            <ns0:hyperlink ns2:id="rIdModelNotes">
              <ns0:r>
                <ns0:rPr>
                  <ns0:color ns0:val="0563C1"/>
                  <ns0:u ns0:val="single"/>
                </ns0:rPr>
                <ns0:t>model notes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SPPR calculation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</ns0:rPr>
              <ns0:t xml:space="preserve">[MANUAL — Researcher: calculation choices and reasons]</ns0:t>
            </ns0:r>
          </ns0:p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</ns0:rPr>
              <ns0:t xml:space="preserve">[Excluded groups, scope and relevant values; other adjustments]</ns0:t>
            </ns0:r>
          </ns0:p>
        </ns0:tc>
      </ns0:tr>
    </ns0:tbl>
    <ns0:p>
      <ns0:pPr>
        <ns0:spacing ns0:after="40" ns0:before="0" ns0:line="240" ns0:lineRule="auto"/>
        <ns0:pageBreakBefore/>
      </ns0:pPr>
      <ns0:r>
        <ns0:rPr>
          <ns0:rFonts ns0:ascii="Calibri" ns0:hAnsi="Calibri"/>
          <ns0:sz ns0:val="2"/>
          <ns0:color ns0:val="000000"/>
        </ns0:rPr>
        <ns0:t xml:space="preserve"/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2203"/>
        <ns0:gridCol ns0:w="7834"/>
      </ns0:tblGrid>
      <ns0:tr>
        <ns0:trPr>
          <ns0:cantSplit/>
          <ns0:tblHeader/>
          <ns0:tblHeader/>
          <ns0:cantSplit/>
        </ns0:trPr>
        <ns0:tc>
          <ns0:tcPr>
            <ns0:tcW ns0:type="dxa" ns0:w="2203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Field</ns0:t>
            </ns0:r>
          </ns0:p>
        </ns0:tc>
        <ns0:tc>
          <ns0:tcPr>
            <ns0:tcW ns0:type="dxa" ns0:w="7834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  <ns0:b/>
              </ns0:rPr>
              <ns0:t xml:space="preserve">Entry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GE diagnostics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No negative entries in any basal-source column, including unfished groups. rho_living=0.65909091; b=0.23206068; Detritus (33) SPPR=1.73940243.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TE diagnostics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No negative entries in any basal-source column, including unfished groups. rho_living=0.69377990; Detritus (33) SPPR=0.41749368.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Geographic fit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Approximate A: 1–2% of the region covered by the study. B: 90–100% of the study inside the region.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Temporal fit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Static 1997 coefficients and source catch proportions are transferred across 1950–2019. Reference 2019 is 22 years later. Supplementary membership/length traits mainly use 2004, 2009 and 2014 surveys; they do not supply observed baseline stage caught-mass shares.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Other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GE, TE and With Egestion remain WARN, with strict input and budget balance false. TE Seabirds (1) is near singular; its largest coefficient is unfished in this catch universe. Full mapping retains local-model, fleet, habitat and catch-basis assumptions; it does not establish whole-LME suitability.</ns0:t>
            </ns0:r>
            <ns0:r>
              <ns0:t xml:space="preserve"> </ns0:t>
            </ns0:r>
            <ns0:hyperlink ns2:id="rId20">
              <ns0:r>
                <ns0:rPr>
                  <ns0:color ns0:val="0563C1"/>
                  <ns0:u ns0:val="single"/>
                </ns0:rPr>
                <ns0:t>All source entries</ns0:t>
              </ns0:r>
            </ns0:hyperlink>
            <ns0:r>
              <ns0:t xml:space="preserve"> | </ns0:t>
            </ns0:r>
            <ns0:hyperlink ns2:id="rId21">
              <ns0:r>
                <ns0:rPr>
                  <ns0:color ns0:val="0563C1"/>
                  <ns0:u ns0:val="single"/>
                </ns0:rPr>
                <ns0:t>Method exposure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Open issues and next action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sz ns0:val="21"/>
              </ns0:rPr>
              <ns0:t>[Researcher: open issues and next actions]</ns0:t>
              <ns0:br/>
              <ns0:t/>
              <ns0:br/>
              <ns0:t/>
            </ns0:r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Review and reproducibility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sz ns0:val="21"/>
              </ns0:rPr>
              <ns0:t>Researcher name: [name] | review date: [date]</ns0:t>
              <ns0:br/>
              <ns0:t/>
              <ns0:br/>
              <ns0:t/>
              <ns0:br/>
              <ns0:t/>
            </ns0:r>
          </ns0:p>
        </ns0:tc>
      </ns0:tr>
    </ns0:tbl>
    <ns0:p>
      <ns0:pPr>
        <ns0:keepNext/>
        <ns0:pageBreakBefore/>
        <ns0:spacing ns0:after="120"/>
      </ns0:pPr>
      <ns0:r>
        <ns0:rPr>
          <ns0:rFonts ns0:ascii="Calibri" ns0:hAnsi="Calibri"/>
          <ns0:b/>
          <ns0:color ns0:val="000000"/>
          <ns0:sz ns0:val="30"/>
        </ns0:rPr>
        <ns0:t>Taxon mapping and coverage</ns0:t>
      </ns0:r>
    </ns0:p>
    <ns0:p>
      <ns0:pPr>
        <ns0:keepNext ns0:val="0"/>
        <ns0:pageBreakBefore ns0:val="0"/>
        <ns0:spacing ns0:after="120"/>
      </ns0:pPr>
      <ns0:r>
        <ns0:t>Reference: 2019 landings; all exact catch labels, including unidentified and zero-catch records; no taxon or group filter.</ns0:t>
      </ns0:r>
    </ns0:p>
    <ns0:p>
      <ns0:pPr>
        <ns0:keepNext ns0:val="0"/>
        <ns0:pageBreakBefore ns0:val="0"/>
        <ns0:spacing ns0:after="120"/>
      </ns0:pPr>
      <ns0:r>
        <ns0:t>33 ecological source groups (+1 computational import); 250 catch labels.</ns0:t>
      </ns0:r>
    </ns0:p>
    <ns0:p>
      <ns0:pPr>
        <ns0:keepNext ns0:val="0"/>
        <ns0:pageBreakBefore ns0:val="0"/>
        <ns0:spacing ns0:after="120"/>
      </ns0:pPr>
      <ns0:r>
        <ns0:t>Simple-chain PPR totals 108,985,038.35 t C in 2019.</ns0:t>
      </ns0:r>
    </ns0:p>
    <ns0:p>
      <ns0:pPr>
        <ns0:keepNext ns0:val="0"/>
        <ns0:pageBreakBefore ns0:val="0"/>
        <ns0:spacing ns0:after="120"/>
      </ns0:pPr>
      <ns0:r>
        <ns0:t>31 labels lack a saved classic coefficient/TL; all have zero 2019 landings and zero annual PPR. Unavailable TL remains ?, not zero.</ns0:t>
      </ns0:r>
    </ns0:p>
    <ns0:p>
      <ns0:pPr>
        <ns0:keepNext ns0:val="0"/>
        <ns0:pageBreakBefore ns0:val="0"/>
        <ns0:spacing ns0:after="120"/>
      </ns0:pPr>
      <ns0:r>
        <ns0:t>Method: independent classic/simple trophic chain using the saved taxon coefficient and a single carbon conversion.</ns0:t>
      </ns0:r>
    </ns0:p>
    <ns0:p>
      <ns0:pPr>
        <ns0:keepNext ns0:val="0"/>
        <ns0:pageBreakBefore ns0:val="0"/>
        <ns0:spacing ns0:after="120"/>
      </ns0:pPr>
      <ns0:hyperlink ns2:id="rId22">
        <ns0:r>
          <ns0:rPr>
            <ns0:color ns0:val="0563C1"/>
            <ns0:u ns0:val="single"/>
          </ns0:rPr>
          <ns0:t>Full taxon mapping appendix</ns0:t>
        </ns0:r>
      </ns0:hyperlink>
      <ns0:r>
        <ns0:t xml:space="preserve"> and </ns0:t>
      </ns0:r>
      <ns0:hyperlink ns2:id="rId23">
        <ns0:r>
          <ns0:rPr>
            <ns0:color ns0:val="0563C1"/>
            <ns0:u ns0:val="single"/>
          </ns0:rPr>
          <ns0:t>descriptive Sources sheet</ns0:t>
        </ns0:r>
      </ns0:hyperlink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3888"/>
        <ns0:gridCol ns0:w="1440"/>
        <ns0:gridCol ns0:w="2304"/>
        <ns0:gridCol ns0:w="2376"/>
      </ns0:tblGrid>
      <ns0:tr>
        <ns0:trPr>
          <ns0:tblHeader/>
          <ns0:cantSplit/>
          <ns0:tblHeader/>
          <ns0:cantSplit/>
        </ns0:trPr>
        <ns0:tc>
          <ns0:tcPr>
            <ns0:tcW ns0:type="dxa" ns0:w="3888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Overall confidence</ns0:t>
            </ns0:r>
          </ns0:p>
        </ns0:tc>
        <ns0:tc>
          <ns0:tcPr>
            <ns0:tcW ns0:type="dxa" ns0:w="1440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Taxa</ns0:t>
            </ns0:r>
          </ns0:p>
        </ns0:tc>
        <ns0:tc>
          <ns0:tcPr>
            <ns0:tcW ns0:type="dxa" ns0:w="2304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Catch percentage</ns0:t>
            </ns0:r>
          </ns0:p>
        </ns0:tc>
        <ns0:tc>
          <ns0:tcPr>
            <ns0:tcW ns0:type="dxa" ns0:w="2376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PPR percentage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High</ns0:t>
            </ns0:r>
          </ns0:p>
        </ns0:tc>
        <ns0:tc>
          <ns0:tcPr>
            <ns0:tcW ns0:type="dxa" ns0:w="1440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97</ns0:t>
            </ns0:r>
          </ns0:p>
        </ns0:tc>
        <ns0:tc>
          <ns0:tcPr>
            <ns0:tcW ns0:type="dxa" ns0:w="230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23.3553%</ns0:t>
            </ns0:r>
          </ns0:p>
        </ns0:tc>
        <ns0:tc>
          <ns0:tcPr>
            <ns0:tcW ns0:type="dxa" ns0:w="2376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31.7800%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Medium</ns0:t>
            </ns0:r>
          </ns0:p>
        </ns0:tc>
        <ns0:tc>
          <ns0:tcPr>
            <ns0:tcW ns0:type="dxa" ns0:w="1440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79</ns0:t>
            </ns0:r>
          </ns0:p>
        </ns0:tc>
        <ns0:tc>
          <ns0:tcPr>
            <ns0:tcW ns0:type="dxa" ns0:w="2304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41.1208%</ns0:t>
            </ns0:r>
          </ns0:p>
        </ns0:tc>
        <ns0:tc>
          <ns0:tcPr>
            <ns0:tcW ns0:type="dxa" ns0:w="2376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30.9968%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Low</ns0:t>
            </ns0:r>
          </ns0:p>
        </ns0:tc>
        <ns0:tc>
          <ns0:tcPr>
            <ns0:tcW ns0:type="dxa" ns0:w="1440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2</ns0:t>
            </ns0:r>
          </ns0:p>
        </ns0:tc>
        <ns0:tc>
          <ns0:tcPr>
            <ns0:tcW ns0:type="dxa" ns0:w="230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0.2951%</ns0:t>
            </ns0:r>
          </ns0:p>
        </ns0:tc>
        <ns0:tc>
          <ns0:tcPr>
            <ns0:tcW ns0:type="dxa" ns0:w="2376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0.9206%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Very low</ns0:t>
            </ns0:r>
          </ns0:p>
        </ns0:tc>
        <ns0:tc>
          <ns0:tcPr>
            <ns0:tcW ns0:type="dxa" ns0:w="1440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72</ns0:t>
            </ns0:r>
          </ns0:p>
        </ns0:tc>
        <ns0:tc>
          <ns0:tcPr>
            <ns0:tcW ns0:type="dxa" ns0:w="2304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35.2287%</ns0:t>
            </ns0:r>
          </ns0:p>
        </ns0:tc>
        <ns0:tc>
          <ns0:tcPr>
            <ns0:tcW ns0:type="dxa" ns0:w="2376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36.3027%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Unresolved</ns0:t>
            </ns0:r>
          </ns0:p>
        </ns0:tc>
        <ns0:tc>
          <ns0:tcPr>
            <ns0:tcW ns0:type="dxa" ns0:w="1440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</ns0:t>
            </ns0:r>
          </ns0:p>
        </ns0:tc>
        <ns0:tc>
          <ns0:tcPr>
            <ns0:tcW ns0:type="dxa" ns0:w="230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0.0000%</ns0:t>
            </ns0:r>
          </ns0:p>
        </ns0:tc>
        <ns0:tc>
          <ns0:tcPr>
            <ns0:tcW ns0:type="dxa" ns0:w="2376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0.0000%</ns0:t>
            </ns0:r>
          </ns0:p>
        </ns0:tc>
      </ns0:tr>
    </ns0:tbl>
    <ns0:p>
      <ns0:pPr>
        <ns0:keepNext ns0:val="0"/>
        <ns0:pageBreakBefore ns0:val="0"/>
        <ns0:spacing ns0:after="120"/>
      </ns0:pPr>
      <ns0:r>
        <ns0:rPr>
          <ns0:rFonts ns0:ascii="Calibri" ns0:hAnsi="Calibri"/>
          <ns0:b ns0:val="0"/>
          <ns0:color ns0:val="000000"/>
          <ns0:sz ns0:val="21"/>
        </ns0:rPr>
        <ns0:t>The summary uses the weaker required membership or allocation confidence. The following tables show each component separately.</ns0:t>
      </ns0:r>
    </ns0:p>
    <ns0:p>
      <ns0:pPr>
        <ns0:keepNext/>
        <ns0:pageBreakBefore ns0:val="0"/>
        <ns0:spacing ns0:after="120"/>
      </ns0:pPr>
      <ns0:r>
        <ns0:rPr>
          <ns0:rFonts ns0:ascii="Calibri" ns0:hAnsi="Calibri"/>
          <ns0:b/>
          <ns0:color ns0:val="000000"/>
          <ns0:sz ns0:val="23"/>
        </ns0:rPr>
        <ns0:t>Group assignment rules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6624"/>
        <ns0:gridCol ns0:w="1512"/>
        <ns0:gridCol ns0:w="1872"/>
      </ns0:tblGrid>
      <ns0:tr>
        <ns0:trPr>
          <ns0:tblHeader/>
          <ns0:cantSplit/>
          <ns0:tblHeader/>
          <ns0:cantSplit/>
        </ns0:trPr>
        <ns0:tc>
          <ns0:tcPr>
            <ns0:tcW ns0:type="dxa" ns0:w="6624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Plain-language rule</ns0:t>
            </ns0:r>
          </ns0:p>
        </ns0:tc>
        <ns0:tc>
          <ns0:tcPr>
            <ns0:tcW ns0:type="dxa" ns0:w="1512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Confidence</ns0:t>
            </ns0:r>
          </ns0:p>
        </ns0:tc>
        <ns0:tc>
          <ns0:tcPr>
            <ns0:tcW ns0:type="dxa" ns0:w="1872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PPR percentage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Exact source member in the applicable group or stage pair.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High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44.4011%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Closest source analogue; habitat, diet, size or taxonomy differs.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Very low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30.1348%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Unlisted taxon extends documented source representatives.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Medium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9.1804%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Broad reporting label uses a compatible pool mixture of unknown composition.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Very low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6.1679%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Verified taxon fits the explicit source compartment uniquely.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High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5.8842%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Verified synonym connects the catch label to a source member.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High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1.8763%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Actual members support an inferred family or stage candidate set.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Medium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0.9603%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Young coastal shark pool partly represents the broader family/genus.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Low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0.9206%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Habitat and feeding ecology extend an incomplete source boundary.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Medium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0.4745%</ns0:t>
            </ns0:r>
          </ns0:p>
        </ns0:tc>
      </ns0:tr>
    </ns0:tbl>
    <ns0:p>
      <ns0:pPr>
        <ns0:keepNext ns0:val="0"/>
        <ns0:pageBreakBefore ns0:val="0"/>
        <ns0:spacing ns0:after="120"/>
      </ns0:pPr>
      <ns0:r>
        <ns0:t xml:space="preserve">Membership evidence: </ns0:t>
      </ns0:r>
      <ns0:hyperlink ns2:id="rId24">
        <ns0:r>
          <ns0:rPr>
            <ns0:color ns0:val="0563C1"/>
            <ns0:u ns0:val="single"/>
          </ns0:rPr>
          <ns0:t>source Table S3 baseline crosswalk</ns0:t>
        </ns0:r>
      </ns0:hyperlink>
      <ns0:r>
        <ns0:t xml:space="preserve"> and </ns0:t>
      </ns0:r>
      <ns0:hyperlink ns2:id="rId25">
        <ns0:r>
          <ns0:rPr>
            <ns0:color ns0:val="0563C1"/>
            <ns0:u ns0:val="single"/>
          </ns0:rPr>
          <ns0:t>all taxon decisions</ns0:t>
        </ns0:r>
      </ns0:hyperlink>
      <ns0:r>
        <ns0:t>. Mixed families and pelagic members are reviewed. Residual bony labels exclude dedicated cartilage.</ns0:t>
      </ns0:r>
    </ns0:p>
    <ns0:p>
      <ns0:pPr>
        <ns0:keepNext/>
        <ns0:pageBreakBefore/>
        <ns0:spacing ns0:after="120"/>
      </ns0:pPr>
      <ns0:r>
        <ns0:rPr>
          <ns0:rFonts ns0:ascii="Calibri" ns0:hAnsi="Calibri"/>
          <ns0:b/>
          <ns0:color ns0:val="000000"/>
          <ns0:sz ns0:val="23"/>
        </ns0:rPr>
        <ns0:t>Allocation weight rules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6624"/>
        <ns0:gridCol ns0:w="1512"/>
        <ns0:gridCol ns0:w="1872"/>
      </ns0:tblGrid>
      <ns0:tr>
        <ns0:trPr>
          <ns0:tblHeader/>
          <ns0:cantSplit/>
          <ns0:tblHeader/>
          <ns0:cantSplit/>
        </ns0:trPr>
        <ns0:tc>
          <ns0:tcPr>
            <ns0:tcW ns0:type="dxa" ns0:w="6624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Plain-language rule</ns0:t>
            </ns0:r>
          </ns0:p>
        </ns0:tc>
        <ns0:tc>
          <ns0:tcPr>
            <ns0:tcW ns0:type="dxa" ns0:w="1512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Confidence</ns0:t>
            </ns0:r>
          </ns0:p>
        </ns0:tc>
        <ns0:tc>
          <ns0:tcPr>
            <ns0:tcW ns0:type="dxa" ns0:w="1872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PPR percentage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Complete 1997 source group-catch proportions proxy the target mixture; fixed across years and bases.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Medium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58.6225%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One reviewed source group; no numerical split.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High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41.3775%</ns0:t>
            </ns0:r>
          </ns0:p>
        </ns0:tc>
      </ns0:tr>
    </ns0:tbl>
    <ns0:p>
      <ns0:pPr>
        <ns0:keepNext ns0:val="0"/>
        <ns0:pageBreakBefore ns0:val="0"/>
        <ns0:spacing ns0:after="120"/>
      </ns0:pPr>
      <ns0:r>
        <ns0:t xml:space="preserve">Overall confidence is the weaker membership/allocation component. All 96 split labels use complete published 1997 group-catch proportions at Medium confidence, including genuine zero candidates. Whole-guild species/stage, temporal, geographic, fleet and basis mixtures are assumptions. No applicable observed target stage fractions were found; traits are not mass shares. </ns0:t>
      </ns0:r>
      <ns0:hyperlink ns2:id="rId26">
        <ns0:r>
          <ns0:rPr>
            <ns0:color ns0:val="0563C1"/>
            <ns0:u ns0:val="single"/>
          </ns0:rPr>
          <ns0:t>Allocation evidence</ns0:t>
        </ns0:r>
      </ns0:hyperlink>
    </ns0:p>
    <ns0:p>
      <ns0:pPr>
        <ns0:keepNext ns0:val="0"/>
        <ns0:pageBreakBefore ns0:val="0"/>
        <ns0:spacing ns0:after="120"/>
      </ns0:pPr>
      <ns0:r>
        <ns0:t xml:space="preserve">No unresolved taxa remain. Very low: 72 labels, 35.2287% of landings and 36.3027% of classic PPR. Broad residual mixtures, oceanic sharks/tunas/billfishes, bathyal fish, brackish/surface-feeding analogues and uncertain invertebrate families are named in the linked appendix. Their actual all-source contributions are 39.11% of GE, 37.95% of TE and 38.32% of With Egestion PPR. These conditional estimates retain the diagnostic and geographic limits. </ns0:t>
      </ns0:r>
      <ns0:hyperlink ns2:id="rId21">
        <ns0:r>
          <ns0:rPr>
            <ns0:color ns0:val="0563C1"/>
            <ns0:u ns0:val="single"/>
          </ns0:rPr>
          <ns0:t>Method-specific contributions</ns0:t>
        </ns0:r>
      </ns0:hyperlink>
    </ns0:p>
    <ns0:p>
      <ns0:pPr>
        <ns0:pStyle ns0:val="Title"/>
        <ns0:pageBreakBefore/>
        <ns0:keepNext/>
        <ns0:pageBreakBefore/>
      </ns0:pPr>
      <ns0:r>
        <ns0:t>Geographic evidence screenshots</ns0:t>
      </ns0:r>
    </ns0:p>
    <ns0:p>
      <ns0:pPr>
        <ns0:spacing ns0:after="40" ns0:before="0" ns0:line="240" ns0:lineRule="auto"/>
      </ns0:pPr>
      <ns0:r>
        <ns0:t>R is the full Sulu-Celebes target. S includes commercial and all 33 municipal waters, inside and outside Visayan Sea proper, as explicitly defined in 2023 §2.1 (PDF 2). The 2026 §2.2 baseline reuse supports this extent; its dashed map is indicative. Native 2023 boundaries use the 2026 graticule and a consistent land mask. Nine water controls test the approximate trace; ranges are not statistical intervals.</ns0:t>
      </ns0:r>
    </ns0:p>
    <ns0:p>
      <ns0:pPr>
        <ns0:pStyle ns0:val="Heading2"/>
        <ns0:keepNext/>
      </ns0:pPr>
      <ns0:r>
        <ns0:t>Region area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10037"/>
      </ns0:tblGrid>
      <ns0:tr>
        <ns0:trPr>
          <ns0:cantSplit/>
          <ns0:tblHeader/>
          <ns0:tblHeader/>
          <ns0:cantSplit/>
        </ns0:trPr>
        <ns0:tc>
          <ns0:tcPr>
            <ns0:tcW ns0:type="dxa" ns0:w="10037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t>Sulu Celebes Sea target region</ns0:t>
            </ns0:r>
          </ns0:p>
        </ns0:tc>
      </ns0:tr>
      <ns0:tr>
        <ns0:trPr>
          <ns0:cantSplit/>
          <ns0:trHeight ns0:val="2880" ns0:hRule="atLeast"/>
          <ns0:cantSplit/>
        </ns0:trPr>
        <ns0:tc>
          <ns0:tcPr>
            <ns0:tcW ns0:type="dxa" ns0:w="10037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/>
            <ns0:r>
              <ns0:drawing>
                <ns3:inline>
                  <ns3:extent cx="4572000" cy="3810000"/>
                  <ns3:docPr id="1" name="Picture 1"/>
                  <ns3:cNvGraphicFramePr>
                    <ns4:graphicFrameLocks noChangeAspect="1"/>
                  </ns3:cNvGraphicFramePr>
                  <ns4:graphic>
                    <ns4:graphicData uri="http://schemas.openxmlformats.org/drawingml/2006/picture">
                      <ns5:pic>
                        <ns5:nvPicPr>
                          <ns5:cNvPr id="0" name="target_region.png"/>
                          <ns5:cNvPicPr/>
                        </ns5:nvPicPr>
                        <ns5:blipFill>
                          <ns4:blip ns2:embed="rId27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0" cy="3810000"/>
                          </ns4:xfrm>
                          <ns4:prstGeom prst="rect"/>
                        </ns5:spPr>
                      </ns5:pic>
                    </ns4:graphicData>
                  </ns4:graphic>
                </ns3:inline>
              </ns0:drawing>
            </ns0:r>
          </ns0:p>
        </ns0:tc>
      </ns0:tr>
    </ns0:tbl>
    <ns0:p>
      <ns0:pPr>
        <ns0:spacing ns0:after="40" ns0:before="0" ns0:line="240" ns0:lineRule="auto"/>
      </ns0:pPr>
      <ns0:r>
        <ns0:t xml:space="preserve">Sea Around Us LME 37 target R: 1,013,866 km². </ns0:t>
      </ns0:r>
      <ns0:r>
        <ns0:t xml:space="preserve"> </ns0:t>
      </ns0:r>
      <ns0:hyperlink ns2:id="rId29">
        <ns0:r>
          <ns0:rPr>
            <ns0:color ns0:val="0563C1"/>
            <ns0:u ns0:val="single"/>
          </ns0:rPr>
          <ns0:t>Target boundary</ns0:t>
        </ns0:r>
      </ns0:hyperlink>
      <ns0:r>
        <ns0:t xml:space="preserve"> | </ns0:t>
      </ns0:r>
      <ns0:hyperlink ns2:id="rId30">
        <ns0:r>
          <ns0:rPr>
            <ns0:color ns0:val="0563C1"/>
            <ns0:u ns0:val="single"/>
          </ns0:rPr>
          <ns0:t>Map image</ns0:t>
        </ns0:r>
      </ns0:hyperlink>
    </ns0:p>
    <ns0:p>
      <ns0:pPr>
        <ns0:pStyle ns0:val="Heading2"/>
        <ns0:keepNext/>
        <ns0:pageBreakBefore/>
      </ns0:pPr>
      <ns0:r>
        <ns0:t>Study area in the article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10037"/>
      </ns0:tblGrid>
      <ns0:tr>
        <ns0:trPr>
          <ns0:cantSplit/>
          <ns0:tblHeader/>
          <ns0:tblHeader/>
          <ns0:cantSplit/>
        </ns0:trPr>
        <ns0:tc>
          <ns0:tcPr>
            <ns0:tcW ns0:type="dxa" ns0:w="10037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t>Original Visayan baseline study area Figure 1</ns0:t>
            </ns0:r>
          </ns0:p>
        </ns0:tc>
      </ns0:tr>
      <ns0:tr>
        <ns0:trPr>
          <ns0:cantSplit/>
          <ns0:trHeight ns0:val="2880" ns0:hRule="atLeast"/>
          <ns0:cantSplit/>
        </ns0:trPr>
        <ns0:tc>
          <ns0:tcPr>
            <ns0:tcW ns0:type="dxa" ns0:w="10037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/>
            <ns0:r>
              <ns0:drawing>
                <ns3:inline>
                  <ns3:extent cx="4251960" cy="4390748"/>
                  <ns3:docPr id="2" name="Picture 2"/>
                  <ns3:cNvGraphicFramePr>
                    <ns4:graphicFrameLocks noChangeAspect="1"/>
                  </ns3:cNvGraphicFramePr>
                  <ns4:graphic>
                    <ns4:graphicData uri="http://schemas.openxmlformats.org/drawingml/2006/picture">
                      <ns5:pic>
                        <ns5:nvPicPr>
                          <ns5:cNvPr id="0" name="original_2023_figure1.png"/>
                          <ns5:cNvPicPr/>
                        </ns5:nvPicPr>
                        <ns5:blipFill>
                          <ns4:blip ns2:embed="rId28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251960" cy="4390748"/>
                          </ns4:xfrm>
                          <ns4:prstGeom prst="rect"/>
                        </ns5:spPr>
                      </ns5:pic>
                    </ns4:graphicData>
                  </ns4:graphic>
                </ns3:inline>
              </ns0:drawing>
            </ns0:r>
          </ns0:p>
        </ns0:tc>
      </ns0:tr>
    </ns0:tbl>
    <ns0:p>
      <ns0:pPr>
        <ns0:spacing ns0:after="40" ns0:before="0" ns0:line="240" ns0:lineRule="auto"/>
      </ns0:pPr>
      <ns0:r>
        <ns0:t xml:space="preserve">Bacalso et al. 2023 Figure 1, PDF 3. Light green is inside-domain municipal water; dark green is outside-domain municipal water. Both plus commercial waters form the 16,728.5 km² baseline under §2.1 (PDF 2); the narrower sea proper is 12,521.8 km². </ns0:t>
      </ns0:r>
      <ns0:r>
        <ns0:t xml:space="preserve"> </ns0:t>
      </ns0:r>
      <ns0:hyperlink ns2:id="rId31">
        <ns0:r>
          <ns0:rPr>
            <ns0:color ns0:val="0563C1"/>
            <ns0:u ns0:val="single"/>
          </ns0:rPr>
          <ns0:t>Baseline extent definition</ns0:t>
        </ns0:r>
      </ns0:hyperlink>
      <ns0:r>
        <ns0:t xml:space="preserve"> | </ns0:t>
      </ns0:r>
      <ns0:hyperlink ns2:id="rId32">
        <ns0:r>
          <ns0:rPr>
            <ns0:color ns0:val="0563C1"/>
            <ns0:u ns0:val="single"/>
          </ns0:rPr>
          <ns0:t>Original figure</ns0:t>
        </ns0:r>
      </ns0:hyperlink>
      <ns0:r>
        <ns0:t xml:space="preserve"> | </ns0:t>
      </ns0:r>
      <ns0:hyperlink ns2:id="rId33">
        <ns0:r>
          <ns0:rPr>
            <ns0:color ns0:val="0563C1"/>
            <ns0:u ns0:val="single"/>
          </ns0:rPr>
          <ns0:t>2026 indicative map</ns0:t>
        </ns0:r>
      </ns0:hyperlink>
      <ns0:r>
        <ns0:t xml:space="preserve"> | </ns0:t>
      </ns0:r>
      <ns0:hyperlink ns2:id="rId34">
        <ns0:r>
          <ns0:rPr>
            <ns0:color ns0:val="0563C1"/>
            <ns0:u ns0:val="single"/>
          </ns0:rPr>
          <ns0:t>Geographic assessment</ns0:t>
        </ns0:r>
      </ns0:hyperlink>
    </ns0:p>
    <ns0:p>
      <ns0:pPr>
        <ns0:pageBreakBefore/>
        <ns0:spacing ns0:after="40" ns0:before="0" ns0:line="240" ns0:lineRule="auto"/>
      </ns0:pPr>
      <ns0:r>
        <ns0:t xml:space="preserve">Approximate comparison: reconstructed marine study area 16,457 km²; A≈1.59%, B≈98.05%. Coarse report ranges 1–2% and 90–100% reflect outline, coastline and registration uncertainty. Ordered coastlines and real offshore bends are retained; annotation holes are not water exclusions. </ns0:t>
      </ns0:r>
      <ns0:hyperlink ns2:id="rId35">
        <ns0:r>
          <ns0:rPr>
            <ns0:color ns0:val="0563C1"/>
            <ns0:u ns0:val="single"/>
          </ns0:rPr>
          <ns0:t>Reconstructed polygon</ns0:t>
        </ns0:r>
      </ns0:hyperlink>
      <ns0:r>
        <ns0:br/>
      </ns0:r>
      <ns0:r>
        <ns0:drawing>
          <ns3:inline>
            <ns3:extent cx="5303520" cy="2651760"/>
            <ns3:docPr id="3" name="Picture 3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0" name="comparison.png"/>
                    <ns5:cNvPicPr/>
                  </ns5:nvPicPr>
                  <ns5:blipFill>
                    <ns4:blip ns2:embed="rId36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5303520" cy="2651760"/>
                    </ns4:xfrm>
                    <ns4:prstGeom prst="rect"/>
                  </ns5:spPr>
                </ns5:pic>
              </ns4:graphicData>
            </ns4:graphic>
          </ns3:inline>
        </ns0:drawing>
      </ns0:r>
    </ns0:p>
    <ns0:sectPr ns0:rsidR="00FC693F" ns0:rsidRPr="0006063C" ns0:rsidSect="00034616">
      <ns0:type ns0:val="nextPage"/>
      <ns0:pgSz ns0:w="11909" ns0:h="16834"/>
      <ns0:pgMar ns0:top="936" ns0:right="936" ns0:bottom="936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Validation1" Type="http://schemas.openxmlformats.org/officeDocument/2006/relationships/hyperlink" Target="[Excel_appendix.xlsx]" TargetMode="External" /><ns0:Relationship Id="rId9" Type="http://schemas.openxmlformats.org/officeDocument/2006/relationships/hyperlink" Target="../../../../../LME_037.xlsx" TargetMode="External" /><ns0:Relationship Id="rId10" Type="http://schemas.openxmlformats.org/officeDocument/2006/relationships/hyperlink" Target="../../../../../raw/catch/LME_037-catch.zip" TargetMode="External" /><ns0:Relationship Id="rId11" Type="http://schemas.openxmlformats.org/officeDocument/2006/relationships/hyperlink" Target="../../../../../raw/catch/LME_037-exploited.json" TargetMode="External" /><ns0:Relationship Id="rId12" Type="http://schemas.openxmlformats.org/officeDocument/2006/relationships/hyperlink" Target="../../../sources/Bacalso-c0d09ef6.pdf#page=5" TargetMode="External" /><ns0:Relationship Id="rId13" Type="http://schemas.openxmlformats.org/officeDocument/2006/relationships/hyperlink" Target="../../../sources/1-s2.0-S0964569125004909-mmc1-f97c887e.pdf#page=8" TargetMode="External" /><ns0:Relationship Id="rId14" Type="http://schemas.openxmlformats.org/officeDocument/2006/relationships/hyperlink" Target="../../../sources/recovered_sources_20260928/Bacalso2023_fmars_1099400.pdf" TargetMode="External" /><ns0:Relationship Id="rId15" Type="http://schemas.openxmlformats.org/officeDocument/2006/relationships/hyperlink" Target="../../../sources/recovered_sources_20260928/Bacalso2023_DataSheet_1.docx" TargetMode="External" /><ns0:Relationship Id="rId16" Type="http://schemas.openxmlformats.org/officeDocument/2006/relationships/hyperlink" Target="../model.json" TargetMode="External" /><ns0:Relationship Id="rId17" Type="http://schemas.openxmlformats.org/officeDocument/2006/relationships/hyperlink" Target="../../../../../LME_037.xlsx#Overview%21A1" TargetMode="External" /><ns0:Relationship Id="rId18" Type="http://schemas.openxmlformats.org/officeDocument/2006/relationships/hyperlink" Target="evidence/source_review/source_review.md" TargetMode="External" /><ns0:Relationship Id="rId19" Type="http://schemas.openxmlformats.org/officeDocument/2006/relationships/hyperlink" Target="evidence/source_review/source_parameter_cell_review.json" TargetMode="External" /><ns0:Relationship Id="rId20" Type="http://schemas.openxmlformats.org/officeDocument/2006/relationships/hyperlink" Target="evidence/source_review/matrix_inspection.json" TargetMode="External" /><ns0:Relationship Id="rId21" Type="http://schemas.openxmlformats.org/officeDocument/2006/relationships/hyperlink" Target="evidence/source_review/method_contribution_exposure.json" TargetMode="External" /><ns0:Relationship Id="rId22" Type="http://schemas.openxmlformats.org/officeDocument/2006/relationships/hyperlink" Target="taxon_mapping.xlsx" TargetMode="External" /><ns0:Relationship Id="rId23" Type="http://schemas.openxmlformats.org/officeDocument/2006/relationships/hyperlink" Target="taxon_mapping.xlsx#Sources%21A1" TargetMode="External" /><ns0:Relationship Id="rId24" Type="http://schemas.openxmlformats.org/officeDocument/2006/relationships/hyperlink" Target="evidence/source_review/supplement_membership_crosswalk.json" TargetMode="External" /><ns0:Relationship Id="rId25" Type="http://schemas.openxmlformats.org/officeDocument/2006/relationships/hyperlink" Target="evidence/source_review/taxon_audit.json" TargetMode="External" /><ns0:Relationship Id="rId26" Type="http://schemas.openxmlformats.org/officeDocument/2006/relationships/hyperlink" Target="evidence/source_review/allocation_evidence.json" TargetMode="External" /><ns0:Relationship Id="rId27" Type="http://schemas.openxmlformats.org/officeDocument/2006/relationships/image" Target="media/image1.png" /><ns0:Relationship Id="rId28" Type="http://schemas.openxmlformats.org/officeDocument/2006/relationships/image" Target="media/image2.png" /><ns0:Relationship Id="rId29" Type="http://schemas.openxmlformats.org/officeDocument/2006/relationships/hyperlink" Target="evidence/source_review/geography/target_region.geojson" TargetMode="External" /><ns0:Relationship Id="rId30" Type="http://schemas.openxmlformats.org/officeDocument/2006/relationships/hyperlink" Target="evidence/source_review/geography/target_region.png" TargetMode="External" /><ns0:Relationship Id="rId31" Type="http://schemas.openxmlformats.org/officeDocument/2006/relationships/hyperlink" Target="../../../sources/recovered_sources_20260928/Bacalso2023_fmars_1099400.pdf#page=2" TargetMode="External" /><ns0:Relationship Id="rId32" Type="http://schemas.openxmlformats.org/officeDocument/2006/relationships/hyperlink" Target="../../../sources/recovered_sources_20260928/Bacalso2023_fmars_1099400.pdf#page=3" TargetMode="External" /><ns0:Relationship Id="rId33" Type="http://schemas.openxmlformats.org/officeDocument/2006/relationships/hyperlink" Target="../../../sources/Bacalso-c0d09ef6.pdf#page=3" TargetMode="External" /><ns0:Relationship Id="rId34" Type="http://schemas.openxmlformats.org/officeDocument/2006/relationships/hyperlink" Target="evidence/source_review/geography/geographic_assessment.json" TargetMode="External" /><ns0:Relationship Id="rId35" Type="http://schemas.openxmlformats.org/officeDocument/2006/relationships/hyperlink" Target="evidence/source_review/geography/study_area_reconstructed.geojson" TargetMode="External" /><ns0:Relationship Id="rId36" Type="http://schemas.openxmlformats.org/officeDocument/2006/relationships/image" Target="media/image3.png" /><ns0:Relationship Id="rIdModelNotes" Type="http://schemas.openxmlformats.org/officeDocument/2006/relationships/hyperlink" Target="../model_notes.md" TargetMode="Externa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