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Java Sea regional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Indonesian Sea, LME_038. The source Java Sea domain is subregional.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v 50.1,1950–2019 original catch. Reference:2019 landings; all 181 exact labels, including zero catch and residual categories.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Original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Buchary, E.A.(1999). Evaluating the effect of the 1980 trawl ban in the Java Sea, Indonesia: An ecosystem-based approach. MSc thesis, University of British Columbia. Local main PDF verified; inherited BUCHARY-1991 folder is an alias.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Original thesis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Source review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Zainuri &amp; Endrawati(1999):115 ha Awur Bay, a local 12-component model. Nurhakim(2003):27-group 1979 north Central Java survey model; printed diet defects prevent strict admission. Both are subregional alternatives.</ns0:t>
            </ns0:r>
            <ns0:r>
              <ns0:t xml:space="preserve"> </ns0:t>
            </ns0:r>
            <ns0:hyperlink ns2:id="rId13">
              <ns0:r>
                <ns0:rPr>
                  <ns0:color ns0:val="0563C1"/>
                  <ns0:u ns0:val="single"/>
                </ns0:rPr>
                <ns0:t>Awur Bay source</ns0:t>
              </ns0:r>
            </ns0:hyperlink>
            <ns0:r>
              <ns0:t xml:space="preserve"> | </ns0:t>
            </ns0:r>
            <ns0:hyperlink ns2:id="rId14">
              <ns0:r>
                <ns0:rPr>
                  <ns0:color ns0:val="0563C1"/>
                  <ns0:u ns0:val="single"/>
                </ns0:rPr>
                <ns0:t>North Central Java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38_38003_Java_Sea_normalized_BA_completed_(mid1970s). Static mid 1970s (1974–1976 catch context);28 source groups plus one computational import. Reported Java Sea area 471000 km².</ns0:t>
            </ns0:r>
            <ns0:r>
              <ns0:t xml:space="preserve"> </ns0:t>
            </ns0:r>
            <ns0:hyperlink ns2:id="rId15">
              <ns0:r>
                <ns0:rPr>
                  <ns0:color ns0:val="0563C1"/>
                  <ns0:u ns0:val="single"/>
                </ns0:rPr>
                <ns0:t>Accepted selected model</ns0:t>
              </ns0:r>
            </ns0:hyperlink>
            <ns0:r>
              <ns0:t xml:space="preserve"> | </ns0:t>
            </ns0:r>
            <ns0:hyperlink ns2:id="rId16">
              <ns0:r>
                <ns0:rPr>
                  <ns0:color ns0:val="0563C1"/>
                  <ns0:u ns0:val="single"/>
                </ns0:rPr>
                <ns0:t>Variant provenance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thesis contains one documented mid 1970s static baseline and Ecosim trawl-ban simulations. A second complete, independently verified static parameter/diet model was not identified; dynamic scenarios are not separate static baselines.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 — ?</ns0:t>
              <ns0:br/>
              <ns0:t>Model — User-selected best available Java Sea derived variant. Full-LME and multi-decadal transfer remain provisional; source fidelity, warnings and applicability are assessed separately.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Source Tables 3.1,3.9,3.10 and parameter prose reviewed. Accepted Macrozoobenthos diet 0.660→1 proportional normalization and 28 signed computational BA completions are retained. BA is not measured biomass change. Canonical bytes, loaded biological inputs and source catches remain unchanged.</ns0:t>
            </ns0:r>
            <ns0:r>
              <ns0:t xml:space="preserve"> </ns0:t>
            </ns0:r>
            <ns0:hyperlink ns2:id="rId12">
              <ns0:r>
                <ns0:rPr>
                  <ns0:color ns0:val="0563C1"/>
                  <ns0:u ns0:val="single"/>
                </ns0:rPr>
                <ns0:t>Source/derived differences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Loaded-state proof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  <ns0:p>
            <ns0:r>
              <ns0:t>Administrative freshness note: retained diagnostic and modeled-PPR findings describe historical input db0bc803ea5a068e346b82df8d8b4e4b13f8351bf61103c6507997cb6996ae35. Required removal of that superseded extraction invalidates its runtime-equivalence bridge. Current numerical results are pending; the historical report, full workbook snapshot and authored mapping evidence remain available. See adjacent model notes for the retained source corrections and their limits.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t>Regional review completed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OK retained. rho_living=0.40177283; b=0.24546092; Detritus(28) SPPR=1.31494772.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WARN retained. rho_living=0.62129934; b=0.00000000; Detritus(28) SPPR=0.77389867. Marine mammals have near-zero transfer efficiency; finite results remain provisional.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A. Target fraction covered by study: approximately 19–22%.</ns0:t>
              <ns0:br/>
              <ns0:t>B. Study fraction within target: approximately 99–100%.</ns0:t>
              <ns0:br/>
              <ns0:t>Low geographic confidence: approximate prose-bound reconstruction with two eastern scenarios; no explicit source study polygon.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mid 1970s coefficients and fixed source-catch/donor weights are applied across 1950–2019 whole-LME landings, catch and discards. Reference 2019 is about 44 years later. The source guild populations and historical trawl bycatch differ from modern recorded fisheries.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With Egestion is OK under accepted thresholds. All 348 entries in the three direct 29×4 source matrices are finite/nonnegative, including unfished groups. GE/Egestion threshold grades do not establish ecological validity. Historical method-specific failures/warnings remain. Mixed bony/cartilage source pools and assumed composition limit coarse labels.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Full matrices and warnings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Reference:2019 landings; all exact labels, including zero catch and residual categories; no group filter.</ns0:t>
      </ns0:r>
    </ns0:p>
    <ns0:p>
      <ns0:pPr>
        <ns0:keepNext ns0:val="0"/>
        <ns0:pageBreakBefore ns0:val="0"/>
        <ns0:spacing ns0:after="120"/>
      </ns0:pPr>
      <ns0:r>
        <ns0:t>28 source groups(+1 computational import);181 catch taxa.</ns0:t>
      </ns0:r>
    </ns0:p>
    <ns0:p>
      <ns0:pPr>
        <ns0:keepNext ns0:val="0"/>
        <ns0:pageBreakBefore ns0:val="0"/>
        <ns0:spacing ns0:after="120"/>
      </ns0:pPr>
      <ns0:r>
        <ns0:t>Simple-chain PPR totals 177,164,712.36 t C in 2019.</ns0:t>
      </ns0:r>
    </ns0:p>
    <ns0:p>
      <ns0:pPr>
        <ns0:keepNext ns0:val="0"/>
        <ns0:pageBreakBefore ns0:val="0"/>
        <ns0:spacing ns0:after="120"/>
      </ns0:pPr>
      <ns0:r>
        <ns0:t>39 labels lack a classic coefficient; all have zero 2019 catch and zero annual contribution. Unavailable TL/coefficient stays ?, with no invented value.</ns0:t>
      </ns0:r>
    </ns0:p>
    <ns0:p>
      <ns0:pPr>
        <ns0:keepNext ns0:val="0"/>
        <ns0:pageBreakBefore ns0:val="0"/>
        <ns0:spacing ns0:after="120"/>
      </ns0:pPr>
      <ns0:r>
        <ns0:t>Method: protected independent simple trophic-chain coefficients; wet coefficient×catch/9 once.</ns0:t>
      </ns0:r>
    </ns0:p>
    <ns0:p>
      <ns0:pPr>
        <ns0:keepNext ns0:val="0"/>
        <ns0:pageBreakBefore ns0:val="0"/>
        <ns0:spacing ns0:after="120"/>
      </ns0:pPr>
      <ns0:hyperlink ns2:id="rId18">
        <ns0:r>
          <ns0:rPr>
            <ns0:color ns0:val="0563C1"/>
            <ns0:u ns0:val="single"/>
          </ns0:rPr>
          <ns0:t>All 181 taxon mappings</ns0:t>
        </ns0:r>
      </ns0:hyperlink>
      <ns0:r>
        <ns0:t xml:space="preserve"> and </ns0:t>
      </ns0:r>
      <ns0:hyperlink ns2:id="rId19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56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33.9189%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29.0730%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75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32.9581%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48.5117%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14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2.1288%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2.7273%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36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30.9943%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19.6880%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Documented source taxon/family criterion supports the particular taxon.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58.2144%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Assumed complete source-containing family or stage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11.5475%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represented analogue with material habitat/taxonomic mismatches.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11.0682%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ecological extension to represented source members.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10.3928%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 category approximated across compatible pools.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8.6198%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historical name or spelling bridge.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0.1520%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Partial or competing source ecological/size fit.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0.0053%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0">
        <ns0:r>
          <ns0:rPr>
            <ns0:color ns0:val="0563C1"/>
            <ns0:u ns0:val="single"/>
          </ns0:rPr>
          <ns0:t>source Table3.1</ns0:t>
        </ns0:r>
      </ns0:hyperlink>
      <ns0:r>
        <ns0:t xml:space="preserve">, </ns0:t>
      </ns0:r>
      <ns0:hyperlink ns2:id="rId21">
        <ns0:r>
          <ns0:rPr>
            <ns0:color ns0:val="0563C1"/>
            <ns0:u ns0:val="single"/>
          </ns0:rPr>
          <ns0:t>habitat/size rule</ns0:t>
        </ns0:r>
      </ns0:hyperlink>
      <ns0:r>
        <ns0:t xml:space="preserve">, </ns0:t>
      </ns0:r>
      <ns0:hyperlink ns2:id="rId22">
        <ns0:r>
          <ns0:rPr>
            <ns0:color ns0:val="0563C1"/>
            <ns0:u ns0:val="single"/>
          </ns0:rPr>
          <ns0:t>native FAO support</ns0:t>
        </ns0:r>
      </ns0:hyperlink>
      <ns0:r>
        <ns0:t xml:space="preserve"> and </ns0:t>
      </ns0:r>
      <ns0:hyperlink ns2:id="rId23">
        <ns0:r>
          <ns0:rPr>
            <ns0:color ns0:val="0563C1"/>
            <ns0:u ns0:val="single"/>
          </ns0:rPr>
          <ns0:t>all decisions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printed source Harvest proportions, including genuine zeros.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48.8099%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reviewed source group receives 100%; no numerical split.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48.4430%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Historical identified-catch donor proportions; population/basis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2.7471%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Percentages are each rule’s share of simple-chain PPR. Complete Harvest includes genuine zero stages. Juvenile shrimp 0.008 and juvenile large demersals 0.066 are author assumptions. Living bottom structure catch is 10×SAF assumed trawl bycatch and supplies 71.43% of the generic-invertebrate allocation. Retained donor fractions use all eligible identified direct/stage donors, with no same-family restriction; mismatch remains Low. Compatible measured stage-mass partitions were not located. </ns0:t>
      </ns0:r>
      <ns0:hyperlink ns2:id="rId24">
        <ns0:r>
          <ns0:rPr>
            <ns0:color ns0:val="0563C1"/>
            <ns0:u ns0:val="single"/>
          </ns0:rPr>
          <ns0:t>Allocation evidence</ns0:t>
        </ns0:r>
      </ns0:hyperlink>
    </ns0:p>
    <ns0:p>
      <ns0:pPr>
        <ns0:keepNext ns0:val="0"/>
        <ns0:pageBreakBefore ns0:val="0"/>
        <ns0:spacing ns0:after="120"/>
      </ns0:pPr>
      <ns0:r>
        <ns0:t xml:space="preserve">Unresolved: none. Very low: 36 labels contribute 30.9943% of landings and 19.6880% of simple-chain PPR. Broad bony fish/invertebrate pools and unlisted billfish, sharks, tarpon, catfish, flatfish and deep-water taxa use explicit approximations. Mixed-source pools retain non-target members. Very low all-source model PPR shares: GE 33.35%; TE 49.58%; With Egestion 32.20%. Broad marine fish alone supplies 30.07%of TE; Lates calcarifer analogy 18.58%. </ns0:t>
      </ns0:r>
      <ns0:hyperlink ns2:id="rId25">
        <ns0:r>
          <ns0:rPr>
            <ns0:color ns0:val="0563C1"/>
            <ns0:u ns0:val="single"/>
          </ns0:rPr>
          <ns0:t>Method-specific exposure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R is the full Sea Around Us Indonesian Sea LME. S reconstructs the thesis’s approximate 3°S–6°50′S,105°50′E–116°30′/117°30′E prose bounds, removing land consistently. Figure 2.1 supplies bathymetry and provincial context; it has no explicit study polygon. A/B are approximate regional-extent estimates.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Indonesian Sea target and two source-bound scenarios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08610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6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08610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Target R:2,267,636 km². Reconstructed water areas:441114/488277 km²; intersections:439052/486216 km². A≈19–22%, B≈99–100%. Source-reported 471000 km² is separate context. All seven stated water/land controls pass. </ns0:t>
      </ns0:r>
      <ns0:r>
        <ns0:t xml:space="preserve"> </ns0:t>
      </ns0:r>
      <ns0:hyperlink ns2:id="rId28">
        <ns0:r>
          <ns0:rPr>
            <ns0:color ns0:val="0563C1"/>
            <ns0:u ns0:val="single"/>
          </ns0:rPr>
          <ns0:t>Target polygon</ns0:t>
        </ns0:r>
      </ns0:hyperlink>
      <ns0:r>
        <ns0:t xml:space="preserve"> | </ns0:t>
      </ns0:r>
      <ns0:hyperlink ns2:id="rId29">
        <ns0:r>
          <ns0:rPr>
            <ns0:color ns0:val="0563C1"/>
            <ns0:u ns0:val="single"/>
          </ns0:rPr>
          <ns0:t>Approximate bounds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Original source Figure 2.1: Java Sea geography and bathymetry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531157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2_1_landscape.png"/>
                          <ns5:cNvPicPr/>
                        </ns5:nvPicPr>
                        <ns5:blipFill>
                          <ns4:blip ns2:embed="rId2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531157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Original PDF 30/printed 21, rotated for readability. Its graticule and bordering provinces inform the reconstruction; source latitude bounds can truncate local coast-following water. Natural Earth 1:50 million land removal is generalized. Two eastern bounds express source ambiguity, not statistical confidence intervals. No geographic multiplier is applied. </ns0:t>
      </ns0:r>
      <ns0:r>
        <ns0:t xml:space="preserve"> </ns0:t>
      </ns0:r>
      <ns0:hyperlink ns2:id="rId30">
        <ns0:r>
          <ns0:rPr>
            <ns0:color ns0:val="0563C1"/>
            <ns0:u ns0:val="single"/>
          </ns0:rPr>
          <ns0:t>Original figure</ns0:t>
        </ns0:r>
      </ns0:hyperlink>
      <ns0:r>
        <ns0:t xml:space="preserve"> | </ns0:t>
      </ns0:r>
      <ns0:hyperlink ns2:id="rId31">
        <ns0:r>
          <ns0:rPr>
            <ns0:color ns0:val="0563C1"/>
            <ns0:u ns0:val="single"/>
          </ns0:rPr>
          <ns0:t>Areas and limits</ns0:t>
        </ns0:r>
      </ns0:hyperlink>
    </ns0:p>
    <ns0:p>
      <ns0:pPr>
        <ns0:pageBreakBefore/>
        <ns0:spacing ns0:after="40" ns0:before="0" ns0:line="240" ns0:lineRule="auto"/>
      </ns0:pPr>
      <ns0:r>
        <ns0:t>Original Table 3.1, PDF 58/printed 49: source biological groups and representative taxa. The family summary does not exhaust modern taxonomic membership.</ns0:t>
      </ns0:r>
      <ns0:r>
        <ns0:drawing>
          <ns3:inline>
            <ns3:extent cx="4572000" cy="5914651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original_pdf_page_58.png"/>
                    <ns5:cNvPicPr/>
                  </ns5:nvPicPr>
                  <ns5:blipFill>
                    <ns4:blip ns2:embed="rId3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0" cy="5914651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38.xlsx" TargetMode="External" /><ns0:Relationship Id="rId10" Type="http://schemas.openxmlformats.org/officeDocument/2006/relationships/hyperlink" Target="../../../../../raw/catch/LME_038-catch.zip" TargetMode="External" /><ns0:Relationship Id="rId11" Type="http://schemas.openxmlformats.org/officeDocument/2006/relationships/hyperlink" Target="../../../../BUCHARY-1991/sources/ubc_1999-0254.pdf.pdf" TargetMode="External" /><ns0:Relationship Id="rId12" Type="http://schemas.openxmlformats.org/officeDocument/2006/relationships/hyperlink" Target="evidence/source_review/source_review.md" TargetMode="External" /><ns0:Relationship Id="rId13" Type="http://schemas.openxmlformats.org/officeDocument/2006/relationships/hyperlink" Target="../../../../LME038-Zainuri-1999/sources/4895-c62b530d.pdf" TargetMode="External" /><ns0:Relationship Id="rId14" Type="http://schemas.openxmlformats.org/officeDocument/2006/relationships/hyperlink" Target="../../../../LME038-Nurhakim-2003/sources/content-ce43630c.pdf" TargetMode="External" /><ns0:Relationship Id="rId15" Type="http://schemas.openxmlformats.org/officeDocument/2006/relationships/hyperlink" Target="../model.json" TargetMode="External" /><ns0:Relationship Id="rId16" Type="http://schemas.openxmlformats.org/officeDocument/2006/relationships/hyperlink" Target="../extracted_tables/evidence/SELECTED_MODEL_REPORT.md" TargetMode="External" /><ns0:Relationship Id="rId17" Type="http://schemas.openxmlformats.org/officeDocument/2006/relationships/hyperlink" Target="evidence/source_review/matrix_inspection.json" TargetMode="External" /><ns0:Relationship Id="rId18" Type="http://schemas.openxmlformats.org/officeDocument/2006/relationships/hyperlink" Target="taxon_mapping.xlsx" TargetMode="External" /><ns0:Relationship Id="rId19" Type="http://schemas.openxmlformats.org/officeDocument/2006/relationships/hyperlink" Target="taxon_mapping.xlsx#Sources%21A1" TargetMode="External" /><ns0:Relationship Id="rId20" Type="http://schemas.openxmlformats.org/officeDocument/2006/relationships/hyperlink" Target="../../../../BUCHARY-1991/sources/ubc_1999-0254.pdf.pdf#page=58" TargetMode="External" /><ns0:Relationship Id="rId21" Type="http://schemas.openxmlformats.org/officeDocument/2006/relationships/hyperlink" Target="../../../../BUCHARY-1991/sources/ubc_1999-0254.pdf.pdf#page=55" TargetMode="External" /><ns0:Relationship Id="rId22" Type="http://schemas.openxmlformats.org/officeDocument/2006/relationships/hyperlink" Target="evidence/source_review/supporting_sources_manifest.json" TargetMode="External" /><ns0:Relationship Id="rId23" Type="http://schemas.openxmlformats.org/officeDocument/2006/relationships/hyperlink" Target="evidence/source_review/taxon_audit.json" TargetMode="External" /><ns0:Relationship Id="rId24" Type="http://schemas.openxmlformats.org/officeDocument/2006/relationships/hyperlink" Target="evidence/source_review/identified_catch_proxy_review.json" TargetMode="External" /><ns0:Relationship Id="rId25" Type="http://schemas.openxmlformats.org/officeDocument/2006/relationships/hyperlink" Target="evidence/source_review/method_specific_mapping_exposure.json" TargetMode="External" /><ns0:Relationship Id="rId26" Type="http://schemas.openxmlformats.org/officeDocument/2006/relationships/image" Target="media/image1.png" /><ns0:Relationship Id="rId27" Type="http://schemas.openxmlformats.org/officeDocument/2006/relationships/image" Target="media/image2.png" /><ns0:Relationship Id="rId28" Type="http://schemas.openxmlformats.org/officeDocument/2006/relationships/hyperlink" Target="evidence/source_review/geography/target_region.geojson" TargetMode="External" /><ns0:Relationship Id="rId29" Type="http://schemas.openxmlformats.org/officeDocument/2006/relationships/hyperlink" Target="evidence/source_review/geography/reconstructed_study_bounds.geojson" TargetMode="External" /><ns0:Relationship Id="rId30" Type="http://schemas.openxmlformats.org/officeDocument/2006/relationships/hyperlink" Target="../../../../BUCHARY-1991/sources/ubc_1999-0254.pdf.pdf#page=30" TargetMode="External" /><ns0:Relationship Id="rId31" Type="http://schemas.openxmlformats.org/officeDocument/2006/relationships/hyperlink" Target="evidence/source_review/geography/geographic_assessment.json" TargetMode="External" /><ns0:Relationship Id="rId32" Type="http://schemas.openxmlformats.org/officeDocument/2006/relationships/image" Target="media/image3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