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xmlns:ns3="http://schemas.openxmlformats.org/drawingml/2006/wordprocessingDrawing" xmlns:ns4="http://schemas.openxmlformats.org/drawingml/2006/main" xmlns:ns5="http://schemas.openxmlformats.org/drawingml/2006/picture" xmlns:w14="http://schemas.microsoft.com/office/word/2010/wordml" xmlns:wp14="http://schemas.microsoft.com/office/word/2010/wordprocessingDrawing" ns1:Ignorable="w14 wp14">
  <ns0:body>
    <ns0:p>
      <ns0:pPr>
        <ns0:pStyle ns0:val="Title"/>
      </ns0:pPr>
      <ns0:r>
        <ns0:t>Kuroshio Current regional model validation</ns0:t>
      </ns0:r>
      <ns0:r>
        <ns0:rPr>
          <ns0:sz ns0:val="20"/>
        </ns0:rPr>
        <ns0:br/>
        <ns0:t>Regional review completed</ns0:t>
      </ns0:r>
    </ns0:p>
    <ns0:tbl>
      <ns0:tblPr>
        <ns0:tblW ns0:type="auto" ns0:w="0"/>
        <ns0:jc ns0:val="center"/>
        <ns0:tblLayout ns0:type="fixed"/>
        <ns0:tblLook ns0:firstColumn="1" ns0:firstRow="1" ns0:lastColumn="0" ns0:lastRow="0" ns0:noHBand="0" ns0:noVBand="1" ns0:val="04A0"/>
      </ns0:tblPr>
      <ns0:tblGrid>
        <ns0:gridCol ns0:w="2203"/>
        <ns0:gridCol ns0:w="7834"/>
      </ns0:tblGrid>
      <ns0:tr>
        <ns0:trPr>
          <ns0:cantSplit/>
          <ns0:tblHeader/>
          <ns0:tblHeader/>
          <ns0:cantSplit/>
        </ns0:trPr>
        <ns0:tc>
          <ns0:tcPr>
            <ns0:tcW ns0:type="dxa" ns0:w="2203"/>
            <ns0:vAlign ns0:val="center"/>
            <ns0:shd ns0:fill="E5ECF0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b/>
                <ns0:sz ns0:val="21"/>
              </ns0:rPr>
              <ns0:t>Field</ns0:t>
            </ns0:r>
          </ns0:p>
        </ns0:tc>
        <ns0:tc>
          <ns0:tcPr>
            <ns0:tcW ns0:type="dxa" ns0:w="7834"/>
            <ns0:vAlign ns0:val="center"/>
            <ns0:shd ns0:fill="E5ECF0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 ns0:before="0" ns0:line="240" ns0:lineRule="auto"/>
            </ns0:pPr>
            <ns0:r>
              <ns0:rPr>
                <ns0:rFonts ns0:ascii="Calibri" ns0:hAnsi="Calibri"/>
                <ns0:sz ns0:val="21"/>
                <ns0:color ns0:val="000000"/>
                <ns0:b/>
              </ns0:rPr>
              <ns0:t xml:space="preserve">Entry</ns0:t>
            </ns0:r>
          </ns0:p>
        </ns0:tc>
      </ns0:tr>
      <ns0:tr>
        <ns0:trPr>
          <ns0:cantSplit/>
          <ns0:cantSplit/>
        </ns0:trPr>
        <ns0:tc>
          <ns0:tcPr>
            <ns0:tcW ns0:type="dxa" ns0:w="2203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b/>
                <ns0:sz ns0:val="21"/>
              </ns0:rPr>
              <ns0:t>Region</ns0:t>
            </ns0:r>
          </ns0:p>
        </ns0:tc>
        <ns0:tc>
          <ns0:tcPr>
            <ns0:tcW ns0:type="dxa" ns0:w="7834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 ns0:before="0" ns0:line="240" ns0:lineRule="auto"/>
            </ns0:pPr>
            <ns0:r>
              <ns0:rPr>
                <ns0:rFonts ns0:ascii="Calibri" ns0:hAnsi="Calibri"/>
                <ns0:sz ns0:val="21"/>
                <ns0:color ns0:val="000000"/>
              </ns0:rPr>
              <ns0:t>Kuroshio Current, LME_049. The source spans coastal and offshore western North Pacific blocks.</ns0:t>
            </ns0:r>
            <ns0:r>
              <ns0:t xml:space="preserve"> </ns0:t>
            </ns0:r>
            <ns0:hyperlink ns2:id="rId9">
              <ns0:r>
                <ns0:rPr>
                  <ns0:color ns0:val="0563C1"/>
                  <ns0:u ns0:val="single"/>
                </ns0:rPr>
                <ns0:t>Regional workbook</ns0:t>
              </ns0:r>
            </ns0:hyperlink>
          </ns0:p>
        </ns0:tc>
      </ns0:tr>
      <ns0:tr>
        <ns0:trPr>
          <ns0:cantSplit/>
          <ns0:cantSplit/>
        </ns0:trPr>
        <ns0:tc>
          <ns0:tcPr>
            <ns0:tcW ns0:type="dxa" ns0:w="2203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b/>
                <ns0:sz ns0:val="21"/>
              </ns0:rPr>
              <ns0:t>Catch source</ns0:t>
            </ns0:r>
          </ns0:p>
        </ns0:tc>
        <ns0:tc>
          <ns0:tcPr>
            <ns0:tcW ns0:type="dxa" ns0:w="7834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 ns0:before="0" ns0:line="240" ns0:lineRule="auto"/>
            </ns0:pPr>
            <ns0:r>
              <ns0:rPr>
                <ns0:rFonts ns0:ascii="Calibri" ns0:hAnsi="Calibri"/>
                <ns0:sz ns0:val="21"/>
                <ns0:color ns0:val="000000"/>
              </ns0:rPr>
              <ns0:t>Sea Around Us v50.1, 1950–2019 reconstructed catch. Reference: 2019 landings; all 253 reporting labels, including zero catch.</ns0:t>
            </ns0:r>
            <ns0:r>
              <ns0:t xml:space="preserve"> </ns0:t>
            </ns0:r>
            <ns0:hyperlink ns2:id="rId10">
              <ns0:r>
                <ns0:rPr>
                  <ns0:color ns0:val="0563C1"/>
                  <ns0:u ns0:val="single"/>
                </ns0:rPr>
                <ns0:t>Original catch</ns0:t>
              </ns0:r>
            </ns0:hyperlink>
          </ns0:p>
        </ns0:tc>
      </ns0:tr>
      <ns0:tr>
        <ns0:trPr>
          <ns0:cantSplit/>
          <ns0:cantSplit/>
        </ns0:trPr>
        <ns0:tc>
          <ns0:tcPr>
            <ns0:tcW ns0:type="dxa" ns0:w="2203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b/>
                <ns0:sz ns0:val="21"/>
              </ns0:rPr>
              <ns0:t>Selected article</ns0:t>
            </ns0:r>
          </ns0:p>
        </ns0:tc>
        <ns0:tc>
          <ns0:tcPr>
            <ns0:tcW ns0:type="dxa" ns0:w="7834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 ns0:before="0" ns0:line="240" ns0:lineRule="auto"/>
            </ns0:pPr>
            <ns0:r>
              <ns0:rPr>
                <ns0:rFonts ns0:ascii="Calibri" ns0:hAnsi="Calibri"/>
                <ns0:sz ns0:val="21"/>
                <ns0:color ns0:val="000000"/>
              </ns0:rPr>
              <ns0:t>Watari et al. (2019). Ecosystem modeling in the western North Pacific using Ecopath, with a focus on small pelagic fishes. DOI 10.3354/meps12508. Main PDF verified; supplementary text only partially readable.</ns0:t>
            </ns0:r>
            <ns0:r>
              <ns0:t xml:space="preserve"> </ns0:t>
            </ns0:r>
            <ns0:hyperlink ns2:id="rId11">
              <ns0:r>
                <ns0:rPr>
                  <ns0:color ns0:val="0563C1"/>
                  <ns0:u ns0:val="single"/>
                </ns0:rPr>
                <ns0:t>Original article</ns0:t>
              </ns0:r>
            </ns0:hyperlink>
            <ns0:r>
              <ns0:t xml:space="preserve"> | </ns0:t>
            </ns0:r>
            <ns0:hyperlink ns2:id="rId12">
              <ns0:r>
                <ns0:rPr>
                  <ns0:color ns0:val="0563C1"/>
                  <ns0:u ns0:val="single"/>
                </ns0:rPr>
                <ns0:t>Partial supplement</ns0:t>
              </ns0:r>
            </ns0:hyperlink>
          </ns0:p>
        </ns0:tc>
      </ns0:tr>
      <ns0:tr>
        <ns0:trPr>
          <ns0:cantSplit/>
          <ns0:cantSplit/>
        </ns0:trPr>
        <ns0:tc>
          <ns0:tcPr>
            <ns0:tcW ns0:type="dxa" ns0:w="2203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b/>
                <ns0:sz ns0:val="21"/>
              </ns0:rPr>
              <ns0:t>Other known articles</ns0:t>
            </ns0:r>
          </ns0:p>
        </ns0:tc>
        <ns0:tc>
          <ns0:tcPr>
            <ns0:tcW ns0:type="dxa" ns0:w="7834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 ns0:before="0" ns0:line="240" ns0:lineRule="auto"/>
            </ns0:pPr>
            <ns0:r>
              <ns0:rPr>
                <ns0:rFonts ns0:ascii="Calibri" ns0:hAnsi="Calibri"/>
                <ns0:sz ns0:val="21"/>
                <ns0:color ns0:val="000000"/>
              </ns0:rPr>
              <ns0:t>Chen et al. (2025), Study in the ecosystem structure and trophodynamics in the Kuroshio-Oyashio Extension area. One 25-group 2023 offshore survey model; conditional GE, TE and Egestion diagnostics FAIL. Not selected.</ns0:t>
            </ns0:r>
            <ns0:r>
              <ns0:t xml:space="preserve"> </ns0:t>
            </ns0:r>
            <ns0:hyperlink ns2:id="rId13">
              <ns0:r>
                <ns0:rPr>
                  <ns0:color ns0:val="0563C1"/>
                  <ns0:u ns0:val="single"/>
                </ns0:rPr>
                <ns0:t>Main article</ns0:t>
              </ns0:r>
            </ns0:hyperlink>
          </ns0:p>
        </ns0:tc>
      </ns0:tr>
      <ns0:tr>
        <ns0:trPr>
          <ns0:cantSplit/>
          <ns0:cantSplit/>
        </ns0:trPr>
        <ns0:tc>
          <ns0:tcPr>
            <ns0:tcW ns0:type="dxa" ns0:w="2203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b/>
                <ns0:sz ns0:val="21"/>
              </ns0:rPr>
              <ns0:t>Selected model</ns0:t>
            </ns0:r>
          </ns0:p>
        </ns0:tc>
        <ns0:tc>
          <ns0:tcPr>
            <ns0:tcW ns0:type="dxa" ns0:w="7834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 ns0:before="0" ns0:line="240" ns0:lineRule="auto"/>
            </ns0:pPr>
            <ns0:r>
              <ns0:rPr>
                <ns0:rFonts ns0:ascii="Calibri" ns0:hAnsi="Calibri"/>
                <ns0:sz ns0:val="21"/>
                <ns0:color ns0:val="000000"/>
              </ns0:rPr>
              <ns0:t>49_2019201301_Watari_Detritus_Pooled_Experiment_(2013). One static 2013 assumption scenario: 35 consumers, 3 spatial phytoplankton and pooled detritus; 39 source groups plus computational import 40. Source area 913,102 km².</ns0:t>
            </ns0:r>
            <ns0:r>
              <ns0:t xml:space="preserve"> </ns0:t>
            </ns0:r>
            <ns0:hyperlink ns2:id="rId14">
              <ns0:r>
                <ns0:rPr>
                  <ns0:color ns0:val="0563C1"/>
                  <ns0:u ns0:val="single"/>
                </ns0:rPr>
                <ns0:t>Accepted model</ns0:t>
              </ns0:r>
            </ns0:hyperlink>
          </ns0:p>
        </ns0:tc>
      </ns0:tr>
      <ns0:tr>
        <ns0:trPr>
          <ns0:cantSplit/>
          <ns0:cantSplit/>
        </ns0:trPr>
        <ns0:tc>
          <ns0:tcPr>
            <ns0:tcW ns0:type="dxa" ns0:w="2203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 ns0:before="0" ns0:line="240" ns0:lineRule="auto"/>
            </ns0:pPr>
            <ns0:r>
              <ns0:rPr>
                <ns0:rFonts ns0:ascii="Calibri" ns0:hAnsi="Calibri"/>
                <ns0:sz ns0:val="21"/>
                <ns0:color ns0:val="000000"/>
                <ns0:b/>
              </ns0:rPr>
              <ns0:t xml:space="preserve">Other models from the same article</ns0:t>
            </ns0:r>
          </ns0:p>
        </ns0:tc>
        <ns0:tc>
          <ns0:tcPr>
            <ns0:tcW ns0:type="dxa" ns0:w="7834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 ns0:before="0" ns0:line="240" ns0:lineRule="auto"/>
            </ns0:pPr>
            <ns0:r>
              <ns0:rPr>
                <ns0:rFonts ns0:ascii="Calibri" ns0:hAnsi="Calibri"/>
                <ns0:sz ns0:val="21"/>
                <ns0:color ns0:val="000000"/>
              </ns0:rPr>
              <ns0:t>Original 41-group Watari 2013 model retains three spatial detritus pools. Missing between-pool routing blocks its source-faithful SPPR load. OYC, KC and OF form one linked model; they are not three independent baselines.</ns0:t>
            </ns0:r>
            <ns0:r>
              <ns0:t xml:space="preserve"> </ns0:t>
            </ns0:r>
            <ns0:hyperlink ns2:id="rId15">
              <ns0:r>
                <ns0:rPr>
                  <ns0:color ns0:val="0563C1"/>
                  <ns0:u ns0:val="single"/>
                </ns0:rPr>
                <ns0:t>Original model</ns0:t>
              </ns0:r>
            </ns0:hyperlink>
          </ns0:p>
        </ns0:tc>
      </ns0:tr>
      <ns0:tr>
        <ns0:trPr>
          <ns0:cantSplit/>
          <ns0:cantSplit/>
        </ns0:trPr>
        <ns0:tc>
          <ns0:tcPr>
            <ns0:tcW ns0:type="dxa" ns0:w="2203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b/>
                <ns0:sz ns0:val="21"/>
              </ns0:rPr>
              <ns0:t>Selection rationale</ns0:t>
            </ns0:r>
          </ns0:p>
        </ns0:tc>
        <ns0:tc>
          <ns0:tcPr>
            <ns0:tcW ns0:type="dxa" ns0:w="7834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 ns0:before="0" ns0:line="240" ns0:lineRule="auto"/>
            </ns0:pPr>
            <ns0:r>
              <ns0:rPr>
                <ns0:rFonts ns0:ascii="Calibri" ns0:hAnsi="Calibri"/>
                <ns0:sz ns0:val="21"/>
                <ns0:color ns0:val="000000"/>
              </ns0:rPr>
              <ns0:t>Article — User preferred the finer 41-group source structure.</ns0:t>
              <ns0:br/>
              <ns0:t>Model — User selected detritus-only pooling because source routing is unavailable. Cross-block mixing and full internal retention remain assumptions; selection does not establish scientific validity.</ns0:t>
            </ns0:r>
          </ns0:p>
        </ns0:tc>
      </ns0:tr>
      <ns0:tr>
        <ns0:trPr>
          <ns0:cantSplit/>
          <ns0:cantSplit/>
        </ns0:trPr>
        <ns0:tc>
          <ns0:tcPr>
            <ns0:tcW ns0:type="dxa" ns0:w="2203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b/>
                <ns0:sz ns0:val="21"/>
              </ns0:rPr>
              <ns0:t>Model extraction</ns0:t>
            </ns0:r>
          </ns0:p>
        </ns0:tc>
        <ns0:tc>
          <ns0:tcPr>
            <ns0:tcW ns0:type="dxa" ns0:w="7834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 ns0:before="0" ns0:line="240" ns0:lineRule="auto"/>
            </ns0:pPr>
            <ns0:r>
              <ns0:rPr>
                <ns0:rFonts ns0:ascii="Calibri" ns0:hAnsi="Calibri"/>
                <ns0:sz ns0:val="21"/>
                <ns0:color ns0:val="000000"/>
              </ns0:rPr>
              <ns0:t>Accepted pooling sums total-area detritus B to 44.12 without second habitat weighting. Canonical non-detritus inputs remain exact. Retained loader changes include 83 normalized diet cells, missing/default GS/catches, seabird B=1 and PB=QB=0, and solved BA. Pooled detritus BA +1,021.626599 is computational closure, not measured change.</ns0:t>
            </ns0:r>
            <ns0:r>
              <ns0:t xml:space="preserve"> </ns0:t>
            </ns0:r>
            <ns0:hyperlink ns2:id="rId16">
              <ns0:r>
                <ns0:rPr>
                  <ns0:color ns0:val="0563C1"/>
                  <ns0:u ns0:val="single"/>
                </ns0:rPr>
                <ns0:t>Source and runtime differences</ns0:t>
              </ns0:r>
            </ns0:hyperlink>
          </ns0:p>
          <ns0:p>
            <ns0:r>
              <ns0:t>Retained departures and evidence limits: </ns0:t>
            </ns0:r>
            <ns0:hyperlink ns2:id="rIdModelNotes">
              <ns0:r>
                <ns0:rPr>
                  <ns0:color ns0:val="0563C1"/>
                  <ns0:u ns0:val="single"/>
                </ns0:rPr>
                <ns0:t>model notes</ns0:t>
              </ns0:r>
            </ns0:hyperlink>
          </ns0:p>
        </ns0:tc>
      </ns0:tr>
      <ns0:tr>
        <ns0:trPr>
          <ns0:cantSplit/>
        </ns0:trPr>
        <ns0:tc>
          <ns0:tcPr>
            <ns0:tcW ns0:type="dxa" ns0:w="2203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b/>
                <ns0:sz ns0:val="21"/>
              </ns0:rPr>
              <ns0:t>SPPR calculation</ns0:t>
            </ns0:r>
          </ns0:p>
        </ns0:tc>
        <ns0:tc>
          <ns0:tcPr>
            <ns0:tcW ns0:type="dxa" ns0:w="7834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 ns0:before="0" ns0:line="240" ns0:lineRule="auto"/>
            </ns0:pPr>
            <ns0:r>
              <ns0:rPr>
                <ns0:rFonts ns0:ascii="Calibri" ns0:hAnsi="Calibri"/>
                <ns0:sz ns0:val="21"/>
                <ns0:color ns0:val="000000"/>
              </ns0:rPr>
              <ns0:t xml:space="preserve">[MANUAL — Researcher: calculation choices and reasons]</ns0:t>
            </ns0:r>
          </ns0:p>
          <ns0:p>
            <ns0:pPr>
              <ns0:spacing ns0:after="40" ns0:before="0" ns0:line="240" ns0:lineRule="auto"/>
            </ns0:pPr>
            <ns0:r>
              <ns0:rPr>
                <ns0:rFonts ns0:ascii="Calibri" ns0:hAnsi="Calibri"/>
                <ns0:sz ns0:val="21"/>
                <ns0:color ns0:val="000000"/>
              </ns0:rPr>
              <ns0:t xml:space="preserve">[Excluded groups, scope and relevant values; other adjustments]</ns0:t>
            </ns0:r>
          </ns0:p>
        </ns0:tc>
      </ns0:tr>
    </ns0:tbl>
    <ns0:p>
      <ns0:pPr>
        <ns0:spacing ns0:after="40" ns0:before="0" ns0:line="240" ns0:lineRule="auto"/>
        <ns0:pageBreakBefore/>
      </ns0:pPr>
      <ns0:r>
        <ns0:rPr>
          <ns0:rFonts ns0:ascii="Calibri" ns0:hAnsi="Calibri"/>
          <ns0:sz ns0:val="2"/>
          <ns0:color ns0:val="000000"/>
        </ns0:rPr>
      </ns0:r>
    </ns0:p>
    <ns0:tbl>
      <ns0:tblPr>
        <ns0:tblW ns0:type="auto" ns0:w="0"/>
        <ns0:jc ns0:val="center"/>
        <ns0:tblLayout ns0:type="fixed"/>
        <ns0:tblLook ns0:firstColumn="1" ns0:firstRow="1" ns0:lastColumn="0" ns0:lastRow="0" ns0:noHBand="0" ns0:noVBand="1" ns0:val="04A0"/>
      </ns0:tblPr>
      <ns0:tblGrid>
        <ns0:gridCol ns0:w="2203"/>
        <ns0:gridCol ns0:w="7834"/>
      </ns0:tblGrid>
      <ns0:tr>
        <ns0:trPr>
          <ns0:cantSplit/>
          <ns0:tblHeader/>
          <ns0:tblHeader/>
          <ns0:cantSplit/>
        </ns0:trPr>
        <ns0:tc>
          <ns0:tcPr>
            <ns0:tcW ns0:type="dxa" ns0:w="2203"/>
            <ns0:vAlign ns0:val="center"/>
            <ns0:shd ns0:fill="E5ECF0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b/>
                <ns0:sz ns0:val="21"/>
              </ns0:rPr>
              <ns0:t>Field</ns0:t>
            </ns0:r>
          </ns0:p>
        </ns0:tc>
        <ns0:tc>
          <ns0:tcPr>
            <ns0:tcW ns0:type="dxa" ns0:w="7834"/>
            <ns0:vAlign ns0:val="center"/>
            <ns0:shd ns0:fill="E5ECF0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 ns0:before="0" ns0:line="240" ns0:lineRule="auto"/>
            </ns0:pPr>
            <ns0:r>
              <ns0:rPr>
                <ns0:rFonts ns0:ascii="Calibri" ns0:hAnsi="Calibri"/>
                <ns0:sz ns0:val="21"/>
                <ns0:color ns0:val="000000"/>
                <ns0:b/>
              </ns0:rPr>
              <ns0:t xml:space="preserve">Entry</ns0:t>
            </ns0:r>
          </ns0:p>
        </ns0:tc>
      </ns0:tr>
      <ns0:tr>
        <ns0:trPr>
          <ns0:cantSplit/>
          <ns0:cantSplit/>
        </ns0:trPr>
        <ns0:tc>
          <ns0:tcPr>
            <ns0:tcW ns0:type="dxa" ns0:w="2203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b/>
                <ns0:sz ns0:val="21"/>
              </ns0:rPr>
              <ns0:t>GE diagnostics</ns0:t>
            </ns0:r>
          </ns0:p>
        </ns0:tc>
        <ns0:tc>
          <ns0:tcPr>
            <ns0:tcW ns0:type="dxa" ns0:w="7834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 ns0:before="0" ns0:line="240" ns0:lineRule="auto"/>
            </ns0:pPr>
            <ns0:r>
              <ns0:rPr>
                <ns0:rFonts ns0:ascii="Calibri" ns0:hAnsi="Calibri"/>
                <ns0:sz ns0:val="21"/>
                <ns0:color ns0:val="000000"/>
              </ns0:rPr>
              <ns0:t>No negative SPPR entries across the basal-source columns. rho_living=0.33343023; b=0.04017288; pooled Detritus 39 SPPR=1.40229805.</ns0:t>
            </ns0:r>
            <ns0:r>
              <ns0:t xml:space="preserve"> </ns0:t>
            </ns0:r>
            <ns0:hyperlink ns2:id="rId17">
              <ns0:r>
                <ns0:rPr>
                  <ns0:color ns0:val="0563C1"/>
                  <ns0:u ns0:val="single"/>
                </ns0:rPr>
                <ns0:t>Full source matrices</ns0:t>
              </ns0:r>
            </ns0:hyperlink>
          </ns0:p>
        </ns0:tc>
      </ns0:tr>
      <ns0:tr>
        <ns0:trPr>
          <ns0:cantSplit/>
          <ns0:cantSplit/>
        </ns0:trPr>
        <ns0:tc>
          <ns0:tcPr>
            <ns0:tcW ns0:type="dxa" ns0:w="2203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b/>
                <ns0:sz ns0:val="21"/>
              </ns0:rPr>
              <ns0:t>TE diagnostics</ns0:t>
            </ns0:r>
          </ns0:p>
        </ns0:tc>
        <ns0:tc>
          <ns0:tcPr>
            <ns0:tcW ns0:type="dxa" ns0:w="7834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 ns0:before="0" ns0:line="240" ns0:lineRule="auto"/>
            </ns0:pPr>
            <ns0:r>
              <ns0:rPr>
                <ns0:rFonts ns0:ascii="Calibri" ns0:hAnsi="Calibri"/>
                <ns0:sz ns0:val="21"/>
                <ns0:color ns0:val="000000"/>
              </ns0:rPr>
              <ns0:t>Detritus (pooled OYC KC OF; experiment) 39 → Seabirds (all) 3; Phytoplankton (OYC) 36 → Seabirds (all) 3; Phytoplankton (KC) 37 → Seabirds (all) 3; Phytoplankton (OF) 38 → Seabirds (all) 3. TE FAIL remains. rho_living=0.54627838; b=0.00000000; pooled Detritus 39 SPPR=0.64654301. b=0 is the TE convention.</ns0:t>
            </ns0:r>
            <ns0:r>
              <ns0:t xml:space="preserve"> </ns0:t>
            </ns0:r>
            <ns0:hyperlink ns2:id="rId17">
              <ns0:r>
                <ns0:rPr>
                  <ns0:color ns0:val="0563C1"/>
                  <ns0:u ns0:val="single"/>
                </ns0:rPr>
                <ns0:t>Full source matrices</ns0:t>
              </ns0:r>
            </ns0:hyperlink>
          </ns0:p>
        </ns0:tc>
      </ns0:tr>
      <ns0:tr>
        <ns0:trPr>
          <ns0:cantSplit/>
          <ns0:cantSplit/>
        </ns0:trPr>
        <ns0:tc>
          <ns0:tcPr>
            <ns0:tcW ns0:type="dxa" ns0:w="2203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b/>
                <ns0:sz ns0:val="21"/>
              </ns0:rPr>
              <ns0:t>Geographic fit</ns0:t>
            </ns0:r>
          </ns0:p>
        </ns0:tc>
        <ns0:tc>
          <ns0:tcPr>
            <ns0:tcW ns0:type="dxa" ns0:w="7834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 ns0:before="0" ns0:line="240" ns0:lineRule="auto"/>
            </ns0:pPr>
            <ns0:r>
              <ns0:rPr>
                <ns0:rFonts ns0:ascii="Calibri" ns0:hAnsi="Calibri"/>
                <ns0:sz ns0:val="21"/>
                <ns0:color ns0:val="000000"/>
              </ns0:rPr>
              <ns0:t>A. Region covered by study: approximately 30–36%.</ns0:t>
              <ns0:br/>
              <ns0:t>B. Study covered by region: approximately 49–51%.</ns0:t>
            </ns0:r>
          </ns0:p>
        </ns0:tc>
      </ns0:tr>
      <ns0:tr>
        <ns0:trPr>
          <ns0:cantSplit/>
          <ns0:cantSplit/>
        </ns0:trPr>
        <ns0:tc>
          <ns0:tcPr>
            <ns0:tcW ns0:type="dxa" ns0:w="2203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b/>
                <ns0:sz ns0:val="21"/>
              </ns0:rPr>
              <ns0:t>Temporal fit</ns0:t>
            </ns0:r>
          </ns0:p>
        </ns0:tc>
        <ns0:tc>
          <ns0:tcPr>
            <ns0:tcW ns0:type="dxa" ns0:w="7834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 ns0:before="0" ns0:line="240" ns0:lineRule="auto"/>
            </ns0:pPr>
            <ns0:r>
              <ns0:rPr>
                <ns0:rFonts ns0:ascii="Calibri" ns0:hAnsi="Calibri"/>
                <ns0:sz ns0:val="21"/>
                <ns0:color ns0:val="000000"/>
              </ns0:rPr>
              <ns0:t>Static 2013 coefficients and fixed source-catch/biomass proportions transfer across 1950–2019 whole-LME landings, catch and discards. Reference 2019 is six years later. This does not reconstruct annual ecosystem dynamics or observed spatial catch composition.</ns0:t>
            </ns0:r>
          </ns0:p>
        </ns0:tc>
      </ns0:tr>
      <ns0:tr>
        <ns0:trPr>
          <ns0:cantSplit/>
          <ns0:cantSplit/>
        </ns0:trPr>
        <ns0:tc>
          <ns0:tcPr>
            <ns0:tcW ns0:type="dxa" ns0:w="2203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b/>
                <ns0:sz ns0:val="21"/>
              </ns0:rPr>
              <ns0:t>Other</ns0:t>
            </ns0:r>
          </ns0:p>
        </ns0:tc>
        <ns0:tc>
          <ns0:tcPr>
            <ns0:tcW ns0:type="dxa" ns0:w="7834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 ns0:before="0" ns0:line="240" ns0:lineRule="auto"/>
            </ns0:pPr>
            <ns0:r>
              <ns0:rPr>
                <ns0:rFonts ns0:ascii="Calibri" ns0:hAnsi="Calibri"/>
                <ns0:sz ns0:val="21"/>
                <ns0:color ns0:val="000000"/>
              </ns0:rPr>
              <ns0:t>GE and With Egestion retain threshold OK with strict SPPR balance false. All 600 source-matrix entries were checked, including unfished groups. Near-singular TE and existing MC 0/100 accepted remain; the cause is deferred. Partial later supplement and habitat proxies limit membership. Global diagnostic returned no object.</ns0:t>
            </ns0:r>
            <ns0:r>
              <ns0:t xml:space="preserve"> </ns0:t>
            </ns0:r>
            <ns0:hyperlink ns2:id="rId16">
              <ns0:r>
                <ns0:rPr>
                  <ns0:color ns0:val="0563C1"/>
                  <ns0:u ns0:val="single"/>
                </ns0:rPr>
                <ns0:t>Diagnostics and limits</ns0:t>
              </ns0:r>
            </ns0:hyperlink>
          </ns0:p>
        </ns0:tc>
      </ns0:tr>
      <ns0:tr>
        <ns0:trPr>
          <ns0:cantSplit/>
        </ns0:trPr>
        <ns0:tc>
          <ns0:tcPr>
            <ns0:tcW ns0:type="dxa" ns0:w="2203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b/>
                <ns0:sz ns0:val="21"/>
              </ns0:rPr>
              <ns0:t>Open issues and next action</ns0:t>
            </ns0:r>
          </ns0:p>
        </ns0:tc>
        <ns0:tc>
          <ns0:tcPr>
            <ns0:tcW ns0:type="dxa" ns0:w="7834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sz ns0:val="21"/>
              </ns0:rPr>
              <ns0:t>[Researcher: open issues and next actions]</ns0:t>
              <ns0:br/>
              <ns0:t/>
              <ns0:br/>
              <ns0:t/>
            </ns0:r>
          </ns0:p>
        </ns0:tc>
      </ns0:tr>
      <ns0:tr>
        <ns0:trPr>
          <ns0:cantSplit/>
        </ns0:trPr>
        <ns0:tc>
          <ns0:tcPr>
            <ns0:tcW ns0:type="dxa" ns0:w="2203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b/>
                <ns0:sz ns0:val="21"/>
              </ns0:rPr>
              <ns0:t>Review and reproducibility</ns0:t>
            </ns0:r>
          </ns0:p>
        </ns0:tc>
        <ns0:tc>
          <ns0:tcPr>
            <ns0:tcW ns0:type="dxa" ns0:w="7834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sz ns0:val="21"/>
              </ns0:rPr>
              <ns0:t>Researcher name: [name] | review date: [date]</ns0:t>
              <ns0:br/>
              <ns0:t/>
              <ns0:br/>
              <ns0:t/>
              <ns0:br/>
              <ns0:t/>
            </ns0:r>
          </ns0:p>
        </ns0:tc>
      </ns0:tr>
    </ns0:tbl>
    <ns0:p>
      <ns0:pPr>
        <ns0:keepNext/>
        <ns0:pageBreakBefore/>
        <ns0:spacing ns0:after="120"/>
      </ns0:pPr>
      <ns0:r>
        <ns0:rPr>
          <ns0:rFonts ns0:ascii="Calibri" ns0:hAnsi="Calibri"/>
          <ns0:b/>
          <ns0:color ns0:val="000000"/>
          <ns0:sz ns0:val="30"/>
        </ns0:rPr>
        <ns0:t>Taxon mapping and coverage</ns0:t>
      </ns0:r>
    </ns0:p>
    <ns0:p>
      <ns0:pPr>
        <ns0:keepNext ns0:val="0"/>
        <ns0:pageBreakBefore ns0:val="0"/>
        <ns0:spacing ns0:after="120"/>
      </ns0:pPr>
      <ns0:r>
        <ns0:rPr>
          <ns0:rFonts ns0:ascii="Calibri" ns0:hAnsi="Calibri"/>
          <ns0:b ns0:val="0"/>
          <ns0:color ns0:val="000000"/>
          <ns0:sz ns0:val="21"/>
        </ns0:rPr>
        <ns0:t>Reference: 2019 landings; all source scope, all exact reporting labels, no group filter.</ns0:t>
      </ns0:r>
    </ns0:p>
    <ns0:p>
      <ns0:pPr>
        <ns0:keepNext ns0:val="0"/>
        <ns0:pageBreakBefore ns0:val="0"/>
        <ns0:spacing ns0:after="120"/>
      </ns0:pPr>
      <ns0:r>
        <ns0:rPr>
          <ns0:rFonts ns0:ascii="Calibri" ns0:hAnsi="Calibri"/>
          <ns0:b ns0:val="0"/>
          <ns0:color ns0:val="000000"/>
          <ns0:sz ns0:val="21"/>
        </ns0:rPr>
        <ns0:t>39 source groups (+1 computational import); 253 catch taxa.</ns0:t>
      </ns0:r>
    </ns0:p>
    <ns0:p>
      <ns0:pPr>
        <ns0:keepNext ns0:val="0"/>
        <ns0:pageBreakBefore ns0:val="0"/>
        <ns0:spacing ns0:after="120"/>
      </ns0:pPr>
      <ns0:r>
        <ns0:rPr>
          <ns0:rFonts ns0:ascii="Calibri" ns0:hAnsi="Calibri"/>
          <ns0:b ns0:val="0"/>
          <ns0:color ns0:val="000000"/>
          <ns0:sz ns0:val="21"/>
        </ns0:rPr>
        <ns0:t>Simple-chain PPR totals 180,683,377.69 t C in 2019.</ns0:t>
      </ns0:r>
    </ns0:p>
    <ns0:p>
      <ns0:pPr>
        <ns0:keepNext ns0:val="0"/>
        <ns0:pageBreakBefore ns0:val="0"/>
        <ns0:spacing ns0:after="120"/>
      </ns0:pPr>
      <ns0:r>
        <ns0:rPr>
          <ns0:rFonts ns0:ascii="Calibri" ns0:hAnsi="Calibri"/>
          <ns0:b ns0:val="0"/>
          <ns0:color ns0:val="000000"/>
          <ns0:sz ns0:val="21"/>
        </ns0:rPr>
        <ns0:t>24 labels lack a classic coefficient/TL; all have zero 2019 landings and zero annual contribution. Unknown coefficients and TL remain ?.</ns0:t>
      </ns0:r>
    </ns0:p>
    <ns0:p>
      <ns0:pPr>
        <ns0:keepNext ns0:val="0"/>
        <ns0:pageBreakBefore ns0:val="0"/>
        <ns0:spacing ns0:after="120"/>
      </ns0:pPr>
      <ns0:r>
        <ns0:rPr>
          <ns0:rFonts ns0:ascii="Calibri" ns0:hAnsi="Calibri"/>
          <ns0:b ns0:val="0"/>
          <ns0:color ns0:val="000000"/>
          <ns0:sz ns0:val="21"/>
        </ns0:rPr>
        <ns0:t>Method: protected independent simple trophic-chain coefficients.</ns0:t>
      </ns0:r>
    </ns0:p>
    <ns0:p>
      <ns0:pPr>
        <ns0:keepNext ns0:val="0"/>
        <ns0:pageBreakBefore ns0:val="0"/>
        <ns0:spacing ns0:after="120"/>
      </ns0:pPr>
      <ns0:hyperlink ns2:id="rId18">
        <ns0:r>
          <ns0:rPr>
            <ns0:color ns0:val="0563C1"/>
            <ns0:u ns0:val="single"/>
          </ns0:rPr>
          <ns0:t>All 253 taxon mappings</ns0:t>
        </ns0:r>
      </ns0:hyperlink>
      <ns0:r>
        <ns0:t xml:space="preserve"> and </ns0:t>
      </ns0:r>
      <ns0:hyperlink ns2:id="rId19">
        <ns0:r>
          <ns0:rPr>
            <ns0:color ns0:val="0563C1"/>
            <ns0:u ns0:val="single"/>
          </ns0:rPr>
          <ns0:t>descriptive Sources sheet</ns0:t>
        </ns0:r>
      </ns0:hyperlink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</ns0:tblPr>
      <ns0:tblGrid>
        <ns0:gridCol ns0:w="3888"/>
        <ns0:gridCol ns0:w="1440"/>
        <ns0:gridCol ns0:w="2304"/>
        <ns0:gridCol ns0:w="2376"/>
      </ns0:tblGrid>
      <ns0:tr>
        <ns0:trPr>
          <ns0:tblHeader/>
          <ns0:cantSplit/>
          <ns0:tblHeader/>
          <ns0:cantSplit/>
        </ns0:trPr>
        <ns0:tc>
          <ns0:tcPr>
            <ns0:tcW ns0:type="dxa" ns0:w="3888"/>
            <ns0:shd ns0:fill="DDE9EE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</ns0:pPr>
            <ns0:r>
              <ns0:rPr>
                <ns0:rFonts ns0:ascii="Calibri" ns0:hAnsi="Calibri"/>
                <ns0:b/>
                <ns0:color ns0:val="000000"/>
                <ns0:sz ns0:val="20"/>
              </ns0:rPr>
              <ns0:t>Overall confidence</ns0:t>
            </ns0:r>
          </ns0:p>
        </ns0:tc>
        <ns0:tc>
          <ns0:tcPr>
            <ns0:tcW ns0:type="dxa" ns0:w="1440"/>
            <ns0:shd ns0:fill="DDE9EE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rPr>
                <ns0:rFonts ns0:ascii="Calibri" ns0:hAnsi="Calibri"/>
                <ns0:b/>
                <ns0:color ns0:val="000000"/>
                <ns0:sz ns0:val="20"/>
              </ns0:rPr>
              <ns0:t>Taxa</ns0:t>
            </ns0:r>
          </ns0:p>
        </ns0:tc>
        <ns0:tc>
          <ns0:tcPr>
            <ns0:tcW ns0:type="dxa" ns0:w="2304"/>
            <ns0:shd ns0:fill="DDE9EE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rPr>
                <ns0:rFonts ns0:ascii="Calibri" ns0:hAnsi="Calibri"/>
                <ns0:b/>
                <ns0:color ns0:val="000000"/>
                <ns0:sz ns0:val="20"/>
              </ns0:rPr>
              <ns0:t>Catch percentage</ns0:t>
            </ns0:r>
          </ns0:p>
        </ns0:tc>
        <ns0:tc>
          <ns0:tcPr>
            <ns0:tcW ns0:type="dxa" ns0:w="2376"/>
            <ns0:shd ns0:fill="DDE9EE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rPr>
                <ns0:rFonts ns0:ascii="Calibri" ns0:hAnsi="Calibri"/>
                <ns0:b/>
                <ns0:color ns0:val="000000"/>
                <ns0:sz ns0:val="20"/>
              </ns0:rPr>
              <ns0:t>PPR percentage</ns0:t>
            </ns0:r>
          </ns0:p>
        </ns0:tc>
      </ns0:tr>
      <ns0:tr>
        <ns0:trPr>
          <ns0:cantSplit/>
          <ns0:cantSplit/>
        </ns0:trPr>
        <ns0:tc>
          <ns0:tcPr>
            <ns0:tcW ns0:type="dxa" ns0:w="3888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</ns0:pPr>
            <ns0:r>
              <ns0:rPr>
                <ns0:rFonts ns0:ascii="Calibri" ns0:hAnsi="Calibri"/>
                <ns0:b ns0:val="0"/>
                <ns0:color ns0:val="000000"/>
                <ns0:sz ns0:val="20"/>
              </ns0:rPr>
              <ns0:t>High</ns0:t>
            </ns0:r>
          </ns0:p>
        </ns0:tc>
        <ns0:tc>
          <ns0:tcPr>
            <ns0:tcW ns0:type="dxa" ns0:w="1440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rPr>
                <ns0:rFonts ns0:ascii="Calibri" ns0:hAnsi="Calibri"/>
                <ns0:b ns0:val="0"/>
                <ns0:color ns0:val="000000"/>
                <ns0:sz ns0:val="20"/>
              </ns0:rPr>
              <ns0:t>15</ns0:t>
            </ns0:r>
          </ns0:p>
        </ns0:tc>
        <ns0:tc>
          <ns0:tcPr>
            <ns0:tcW ns0:type="dxa" ns0:w="2304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rPr>
                <ns0:rFonts ns0:ascii="Calibri" ns0:hAnsi="Calibri"/>
                <ns0:b ns0:val="0"/>
                <ns0:color ns0:val="000000"/>
                <ns0:sz ns0:val="20"/>
              </ns0:rPr>
              <ns0:t>35.2337%</ns0:t>
            </ns0:r>
          </ns0:p>
        </ns0:tc>
        <ns0:tc>
          <ns0:tcPr>
            <ns0:tcW ns0:type="dxa" ns0:w="2376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rPr>
                <ns0:rFonts ns0:ascii="Calibri" ns0:hAnsi="Calibri"/>
                <ns0:b ns0:val="0"/>
                <ns0:color ns0:val="000000"/>
                <ns0:sz ns0:val="20"/>
              </ns0:rPr>
              <ns0:t>29.2963%</ns0:t>
            </ns0:r>
          </ns0:p>
        </ns0:tc>
      </ns0:tr>
      <ns0:tr>
        <ns0:trPr>
          <ns0:cantSplit/>
          <ns0:cantSplit/>
        </ns0:trPr>
        <ns0:tc>
          <ns0:tcPr>
            <ns0:tcW ns0:type="dxa" ns0:w="3888"/>
            <ns0:shd ns0:fill="F5F7F8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</ns0:pPr>
            <ns0:r>
              <ns0:rPr>
                <ns0:rFonts ns0:ascii="Calibri" ns0:hAnsi="Calibri"/>
                <ns0:b ns0:val="0"/>
                <ns0:color ns0:val="000000"/>
                <ns0:sz ns0:val="20"/>
              </ns0:rPr>
              <ns0:t>Medium</ns0:t>
            </ns0:r>
          </ns0:p>
        </ns0:tc>
        <ns0:tc>
          <ns0:tcPr>
            <ns0:tcW ns0:type="dxa" ns0:w="1440"/>
            <ns0:shd ns0:fill="F5F7F8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rPr>
                <ns0:rFonts ns0:ascii="Calibri" ns0:hAnsi="Calibri"/>
                <ns0:b ns0:val="0"/>
                <ns0:color ns0:val="000000"/>
                <ns0:sz ns0:val="20"/>
              </ns0:rPr>
              <ns0:t>143</ns0:t>
            </ns0:r>
          </ns0:p>
        </ns0:tc>
        <ns0:tc>
          <ns0:tcPr>
            <ns0:tcW ns0:type="dxa" ns0:w="2304"/>
            <ns0:shd ns0:fill="F5F7F8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rPr>
                <ns0:rFonts ns0:ascii="Calibri" ns0:hAnsi="Calibri"/>
                <ns0:b ns0:val="0"/>
                <ns0:color ns0:val="000000"/>
                <ns0:sz ns0:val="20"/>
              </ns0:rPr>
              <ns0:t>31.8095%</ns0:t>
            </ns0:r>
          </ns0:p>
        </ns0:tc>
        <ns0:tc>
          <ns0:tcPr>
            <ns0:tcW ns0:type="dxa" ns0:w="2376"/>
            <ns0:shd ns0:fill="F5F7F8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rPr>
                <ns0:rFonts ns0:ascii="Calibri" ns0:hAnsi="Calibri"/>
                <ns0:b ns0:val="0"/>
                <ns0:color ns0:val="000000"/>
                <ns0:sz ns0:val="20"/>
              </ns0:rPr>
              <ns0:t>51.7575%</ns0:t>
            </ns0:r>
          </ns0:p>
        </ns0:tc>
      </ns0:tr>
      <ns0:tr>
        <ns0:trPr>
          <ns0:cantSplit/>
          <ns0:cantSplit/>
        </ns0:trPr>
        <ns0:tc>
          <ns0:tcPr>
            <ns0:tcW ns0:type="dxa" ns0:w="3888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</ns0:pPr>
            <ns0:r>
              <ns0:rPr>
                <ns0:rFonts ns0:ascii="Calibri" ns0:hAnsi="Calibri"/>
                <ns0:b ns0:val="0"/>
                <ns0:color ns0:val="000000"/>
                <ns0:sz ns0:val="20"/>
              </ns0:rPr>
              <ns0:t>Low</ns0:t>
            </ns0:r>
          </ns0:p>
        </ns0:tc>
        <ns0:tc>
          <ns0:tcPr>
            <ns0:tcW ns0:type="dxa" ns0:w="1440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rPr>
                <ns0:rFonts ns0:ascii="Calibri" ns0:hAnsi="Calibri"/>
                <ns0:b ns0:val="0"/>
                <ns0:color ns0:val="000000"/>
                <ns0:sz ns0:val="20"/>
              </ns0:rPr>
              <ns0:t>1</ns0:t>
            </ns0:r>
          </ns0:p>
        </ns0:tc>
        <ns0:tc>
          <ns0:tcPr>
            <ns0:tcW ns0:type="dxa" ns0:w="2304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rPr>
                <ns0:rFonts ns0:ascii="Calibri" ns0:hAnsi="Calibri"/>
                <ns0:b ns0:val="0"/>
                <ns0:color ns0:val="000000"/>
                <ns0:sz ns0:val="20"/>
              </ns0:rPr>
              <ns0:t>0.0000%</ns0:t>
            </ns0:r>
          </ns0:p>
        </ns0:tc>
        <ns0:tc>
          <ns0:tcPr>
            <ns0:tcW ns0:type="dxa" ns0:w="2376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rPr>
                <ns0:rFonts ns0:ascii="Calibri" ns0:hAnsi="Calibri"/>
                <ns0:b ns0:val="0"/>
                <ns0:color ns0:val="000000"/>
                <ns0:sz ns0:val="20"/>
              </ns0:rPr>
              <ns0:t>0.0000%</ns0:t>
            </ns0:r>
          </ns0:p>
        </ns0:tc>
      </ns0:tr>
      <ns0:tr>
        <ns0:trPr>
          <ns0:cantSplit/>
          <ns0:cantSplit/>
        </ns0:trPr>
        <ns0:tc>
          <ns0:tcPr>
            <ns0:tcW ns0:type="dxa" ns0:w="3888"/>
            <ns0:shd ns0:fill="F5F7F8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</ns0:pPr>
            <ns0:r>
              <ns0:rPr>
                <ns0:rFonts ns0:ascii="Calibri" ns0:hAnsi="Calibri"/>
                <ns0:b ns0:val="0"/>
                <ns0:color ns0:val="000000"/>
                <ns0:sz ns0:val="20"/>
              </ns0:rPr>
              <ns0:t>Very low</ns0:t>
            </ns0:r>
          </ns0:p>
        </ns0:tc>
        <ns0:tc>
          <ns0:tcPr>
            <ns0:tcW ns0:type="dxa" ns0:w="1440"/>
            <ns0:shd ns0:fill="F5F7F8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rPr>
                <ns0:rFonts ns0:ascii="Calibri" ns0:hAnsi="Calibri"/>
                <ns0:b ns0:val="0"/>
                <ns0:color ns0:val="000000"/>
                <ns0:sz ns0:val="20"/>
              </ns0:rPr>
              <ns0:t>94</ns0:t>
            </ns0:r>
          </ns0:p>
        </ns0:tc>
        <ns0:tc>
          <ns0:tcPr>
            <ns0:tcW ns0:type="dxa" ns0:w="2304"/>
            <ns0:shd ns0:fill="F5F7F8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rPr>
                <ns0:rFonts ns0:ascii="Calibri" ns0:hAnsi="Calibri"/>
                <ns0:b ns0:val="0"/>
                <ns0:color ns0:val="000000"/>
                <ns0:sz ns0:val="20"/>
              </ns0:rPr>
              <ns0:t>32.9568%</ns0:t>
            </ns0:r>
          </ns0:p>
        </ns0:tc>
        <ns0:tc>
          <ns0:tcPr>
            <ns0:tcW ns0:type="dxa" ns0:w="2376"/>
            <ns0:shd ns0:fill="F5F7F8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rPr>
                <ns0:rFonts ns0:ascii="Calibri" ns0:hAnsi="Calibri"/>
                <ns0:b ns0:val="0"/>
                <ns0:color ns0:val="000000"/>
                <ns0:sz ns0:val="20"/>
              </ns0:rPr>
              <ns0:t>18.9463%</ns0:t>
            </ns0:r>
          </ns0:p>
        </ns0:tc>
      </ns0:tr>
      <ns0:tr>
        <ns0:trPr>
          <ns0:cantSplit/>
          <ns0:cantSplit/>
        </ns0:trPr>
        <ns0:tc>
          <ns0:tcPr>
            <ns0:tcW ns0:type="dxa" ns0:w="3888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</ns0:pPr>
            <ns0:r>
              <ns0:rPr>
                <ns0:rFonts ns0:ascii="Calibri" ns0:hAnsi="Calibri"/>
                <ns0:b ns0:val="0"/>
                <ns0:color ns0:val="000000"/>
                <ns0:sz ns0:val="20"/>
              </ns0:rPr>
              <ns0:t>Unresolved</ns0:t>
            </ns0:r>
          </ns0:p>
        </ns0:tc>
        <ns0:tc>
          <ns0:tcPr>
            <ns0:tcW ns0:type="dxa" ns0:w="1440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rPr>
                <ns0:rFonts ns0:ascii="Calibri" ns0:hAnsi="Calibri"/>
                <ns0:b ns0:val="0"/>
                <ns0:color ns0:val="000000"/>
                <ns0:sz ns0:val="20"/>
              </ns0:rPr>
              <ns0:t>0</ns0:t>
            </ns0:r>
          </ns0:p>
        </ns0:tc>
        <ns0:tc>
          <ns0:tcPr>
            <ns0:tcW ns0:type="dxa" ns0:w="2304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rPr>
                <ns0:rFonts ns0:ascii="Calibri" ns0:hAnsi="Calibri"/>
                <ns0:b ns0:val="0"/>
                <ns0:color ns0:val="000000"/>
                <ns0:sz ns0:val="20"/>
              </ns0:rPr>
              <ns0:t>0.0000%</ns0:t>
            </ns0:r>
          </ns0:p>
        </ns0:tc>
        <ns0:tc>
          <ns0:tcPr>
            <ns0:tcW ns0:type="dxa" ns0:w="2376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rPr>
                <ns0:rFonts ns0:ascii="Calibri" ns0:hAnsi="Calibri"/>
                <ns0:b ns0:val="0"/>
                <ns0:color ns0:val="000000"/>
                <ns0:sz ns0:val="20"/>
              </ns0:rPr>
              <ns0:t>0.0000%</ns0:t>
            </ns0:r>
          </ns0:p>
        </ns0:tc>
      </ns0:tr>
    </ns0:tbl>
    <ns0:p>
      <ns0:pPr>
        <ns0:keepNext ns0:val="0"/>
        <ns0:pageBreakBefore ns0:val="0"/>
        <ns0:spacing ns0:after="120"/>
      </ns0:pPr>
      <ns0:r>
        <ns0:rPr>
          <ns0:rFonts ns0:ascii="Calibri" ns0:hAnsi="Calibri"/>
          <ns0:b ns0:val="0"/>
          <ns0:color ns0:val="000000"/>
          <ns0:sz ns0:val="21"/>
        </ns0:rPr>
        <ns0:t>The summary uses the weaker required membership or allocation confidence. The following tables show each component separately.</ns0:t>
      </ns0:r>
    </ns0:p>
    <ns0:p>
      <ns0:pPr>
        <ns0:keepNext/>
        <ns0:pageBreakBefore ns0:val="0"/>
        <ns0:spacing ns0:after="120"/>
      </ns0:pPr>
      <ns0:r>
        <ns0:rPr>
          <ns0:rFonts ns0:ascii="Calibri" ns0:hAnsi="Calibri"/>
          <ns0:b/>
          <ns0:color ns0:val="000000"/>
          <ns0:sz ns0:val="23"/>
        </ns0:rPr>
        <ns0:t>Group assignment rules</ns0:t>
      </ns0:r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</ns0:tblPr>
      <ns0:tblGrid>
        <ns0:gridCol ns0:w="6624"/>
        <ns0:gridCol ns0:w="1512"/>
        <ns0:gridCol ns0:w="1872"/>
      </ns0:tblGrid>
      <ns0:tr>
        <ns0:trPr>
          <ns0:tblHeader/>
          <ns0:cantSplit/>
          <ns0:tblHeader/>
          <ns0:cantSplit/>
        </ns0:trPr>
        <ns0:tc>
          <ns0:tcPr>
            <ns0:tcW ns0:type="dxa" ns0:w="6624"/>
            <ns0:shd ns0:fill="DDE9EE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</ns0:pPr>
            <ns0:r>
              <ns0:rPr>
                <ns0:rFonts ns0:ascii="Calibri" ns0:hAnsi="Calibri"/>
                <ns0:b/>
                <ns0:color ns0:val="000000"/>
                <ns0:sz ns0:val="20"/>
              </ns0:rPr>
              <ns0:t>Plain-language rule</ns0:t>
            </ns0:r>
          </ns0:p>
        </ns0:tc>
        <ns0:tc>
          <ns0:tcPr>
            <ns0:tcW ns0:type="dxa" ns0:w="1512"/>
            <ns0:shd ns0:fill="DDE9EE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rPr>
                <ns0:rFonts ns0:ascii="Calibri" ns0:hAnsi="Calibri"/>
                <ns0:b/>
                <ns0:color ns0:val="000000"/>
                <ns0:sz ns0:val="20"/>
              </ns0:rPr>
              <ns0:t>Confidence</ns0:t>
            </ns0:r>
          </ns0:p>
        </ns0:tc>
        <ns0:tc>
          <ns0:tcPr>
            <ns0:tcW ns0:type="dxa" ns0:w="1872"/>
            <ns0:shd ns0:fill="DDE9EE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rPr>
                <ns0:rFonts ns0:ascii="Calibri" ns0:hAnsi="Calibri"/>
                <ns0:b/>
                <ns0:color ns0:val="000000"/>
                <ns0:sz ns0:val="20"/>
              </ns0:rPr>
              <ns0:t>PPR percentage</ns0:t>
            </ns0:r>
          </ns0:p>
        </ns0:tc>
      </ns0:tr>
      <ns0:tr>
        <ns0:trPr>
          <ns0:cantSplit/>
          <ns0:cantSplit/>
        </ns0:trPr>
        <ns0:tc>
          <ns0:tcPr>
            <ns0:tcW ns0:type="dxa" ns0:w="6624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</ns0:pPr>
            <ns0:r>
              <ns0:rPr>
                <ns0:rFonts ns0:ascii="Calibri" ns0:hAnsi="Calibri"/>
                <ns0:b ns0:val="0"/>
                <ns0:color ns0:val="000000"/>
                <ns0:sz ns0:val="20"/>
              </ns0:rPr>
              <ns0:t>Exact species explicitly named by the selected source.</ns0:t>
            </ns0:r>
          </ns0:p>
        </ns0:tc>
        <ns0:tc>
          <ns0:tcPr>
            <ns0:tcW ns0:type="dxa" ns0:w="1512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rPr>
                <ns0:rFonts ns0:ascii="Calibri" ns0:hAnsi="Calibri"/>
                <ns0:b ns0:val="0"/>
                <ns0:color ns0:val="000000"/>
                <ns0:sz ns0:val="20"/>
              </ns0:rPr>
              <ns0:t>High</ns0:t>
            </ns0:r>
          </ns0:p>
        </ns0:tc>
        <ns0:tc>
          <ns0:tcPr>
            <ns0:tcW ns0:type="dxa" ns0:w="1872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rPr>
                <ns0:rFonts ns0:ascii="Calibri" ns0:hAnsi="Calibri"/>
                <ns0:b ns0:val="0"/>
                <ns0:color ns0:val="000000"/>
                <ns0:sz ns0:val="20"/>
              </ns0:rPr>
              <ns0:t>27.3207%</ns0:t>
            </ns0:r>
          </ns0:p>
        </ns0:tc>
      </ns0:tr>
      <ns0:tr>
        <ns0:trPr>
          <ns0:cantSplit/>
          <ns0:cantSplit/>
        </ns0:trPr>
        <ns0:tc>
          <ns0:tcPr>
            <ns0:tcW ns0:type="dxa" ns0:w="6624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</ns0:pPr>
            <ns0:r>
              <ns0:rPr>
                <ns0:rFonts ns0:ascii="Calibri" ns0:hAnsi="Calibri"/>
                <ns0:b ns0:val="0"/>
                <ns0:color ns0:val="000000"/>
                <ns0:sz ns0:val="20"/>
              </ns0:rPr>
              <ns0:t>Assumed eligible source family or spatial/depth set.</ns0:t>
            </ns0:r>
          </ns0:p>
        </ns0:tc>
        <ns0:tc>
          <ns0:tcPr>
            <ns0:tcW ns0:type="dxa" ns0:w="1512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rPr>
                <ns0:rFonts ns0:ascii="Calibri" ns0:hAnsi="Calibri"/>
                <ns0:b ns0:val="0"/>
                <ns0:color ns0:val="000000"/>
                <ns0:sz ns0:val="20"/>
              </ns0:rPr>
              <ns0:t>Medium</ns0:t>
            </ns0:r>
          </ns0:p>
        </ns0:tc>
        <ns0:tc>
          <ns0:tcPr>
            <ns0:tcW ns0:type="dxa" ns0:w="1872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rPr>
                <ns0:rFonts ns0:ascii="Calibri" ns0:hAnsi="Calibri"/>
                <ns0:b ns0:val="0"/>
                <ns0:color ns0:val="000000"/>
                <ns0:sz ns0:val="20"/>
              </ns0:rPr>
              <ns0:t>23.5701%</ns0:t>
            </ns0:r>
          </ns0:p>
        </ns0:tc>
      </ns0:tr>
      <ns0:tr>
        <ns0:trPr>
          <ns0:cantSplit/>
          <ns0:cantSplit/>
        </ns0:trPr>
        <ns0:tc>
          <ns0:tcPr>
            <ns0:tcW ns0:type="dxa" ns0:w="6624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</ns0:pPr>
            <ns0:r>
              <ns0:rPr>
                <ns0:rFonts ns0:ascii="Calibri" ns0:hAnsi="Calibri"/>
                <ns0:b ns0:val="0"/>
                <ns0:color ns0:val="000000"/>
                <ns0:sz ns0:val="20"/>
              </ns0:rPr>
              <ns0:t>Supported ecological extension to a represented guild.</ns0:t>
            </ns0:r>
          </ns0:p>
        </ns0:tc>
        <ns0:tc>
          <ns0:tcPr>
            <ns0:tcW ns0:type="dxa" ns0:w="1512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rPr>
                <ns0:rFonts ns0:ascii="Calibri" ns0:hAnsi="Calibri"/>
                <ns0:b ns0:val="0"/>
                <ns0:color ns0:val="000000"/>
                <ns0:sz ns0:val="20"/>
              </ns0:rPr>
              <ns0:t>Medium</ns0:t>
            </ns0:r>
          </ns0:p>
        </ns0:tc>
        <ns0:tc>
          <ns0:tcPr>
            <ns0:tcW ns0:type="dxa" ns0:w="1872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rPr>
                <ns0:rFonts ns0:ascii="Calibri" ns0:hAnsi="Calibri"/>
                <ns0:b ns0:val="0"/>
                <ns0:color ns0:val="000000"/>
                <ns0:sz ns0:val="20"/>
              </ns0:rPr>
              <ns0:t>21.6600%</ns0:t>
            </ns0:r>
          </ns0:p>
        </ns0:tc>
      </ns0:tr>
      <ns0:tr>
        <ns0:trPr>
          <ns0:cantSplit/>
          <ns0:cantSplit/>
        </ns0:trPr>
        <ns0:tc>
          <ns0:tcPr>
            <ns0:tcW ns0:type="dxa" ns0:w="6624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</ns0:pPr>
            <ns0:r>
              <ns0:rPr>
                <ns0:rFonts ns0:ascii="Calibri" ns0:hAnsi="Calibri"/>
                <ns0:b ns0:val="0"/>
                <ns0:color ns0:val="000000"/>
                <ns0:sz ns0:val="20"/>
              </ns0:rPr>
              <ns0:t>Closest represented habitat/taxonomic analogue, with mismatch.</ns0:t>
            </ns0:r>
          </ns0:p>
        </ns0:tc>
        <ns0:tc>
          <ns0:tcPr>
            <ns0:tcW ns0:type="dxa" ns0:w="1512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rPr>
                <ns0:rFonts ns0:ascii="Calibri" ns0:hAnsi="Calibri"/>
                <ns0:b ns0:val="0"/>
                <ns0:color ns0:val="000000"/>
                <ns0:sz ns0:val="20"/>
              </ns0:rPr>
              <ns0:t>Very low</ns0:t>
            </ns0:r>
          </ns0:p>
        </ns0:tc>
        <ns0:tc>
          <ns0:tcPr>
            <ns0:tcW ns0:type="dxa" ns0:w="1872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rPr>
                <ns0:rFonts ns0:ascii="Calibri" ns0:hAnsi="Calibri"/>
                <ns0:b ns0:val="0"/>
                <ns0:color ns0:val="000000"/>
                <ns0:sz ns0:val="20"/>
              </ns0:rPr>
              <ns0:t>12.6790%</ns0:t>
            </ns0:r>
          </ns0:p>
        </ns0:tc>
      </ns0:tr>
      <ns0:tr>
        <ns0:trPr>
          <ns0:cantSplit/>
          <ns0:cantSplit/>
        </ns0:trPr>
        <ns0:tc>
          <ns0:tcPr>
            <ns0:tcW ns0:type="dxa" ns0:w="6624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</ns0:pPr>
            <ns0:r>
              <ns0:rPr>
                <ns0:rFonts ns0:ascii="Calibri" ns0:hAnsi="Calibri"/>
                <ns0:b ns0:val="0"/>
                <ns0:color ns0:val="000000"/>
                <ns0:sz ns0:val="20"/>
              </ns0:rPr>
              <ns0:t>Supported extension from named source representatives.</ns0:t>
            </ns0:r>
          </ns0:p>
        </ns0:tc>
        <ns0:tc>
          <ns0:tcPr>
            <ns0:tcW ns0:type="dxa" ns0:w="1512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rPr>
                <ns0:rFonts ns0:ascii="Calibri" ns0:hAnsi="Calibri"/>
                <ns0:b ns0:val="0"/>
                <ns0:color ns0:val="000000"/>
                <ns0:sz ns0:val="20"/>
              </ns0:rPr>
              <ns0:t>Medium</ns0:t>
            </ns0:r>
          </ns0:p>
        </ns0:tc>
        <ns0:tc>
          <ns0:tcPr>
            <ns0:tcW ns0:type="dxa" ns0:w="1872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rPr>
                <ns0:rFonts ns0:ascii="Calibri" ns0:hAnsi="Calibri"/>
                <ns0:b ns0:val="0"/>
                <ns0:color ns0:val="000000"/>
                <ns0:sz ns0:val="20"/>
              </ns0:rPr>
              <ns0:t>6.5274%</ns0:t>
            </ns0:r>
          </ns0:p>
        </ns0:tc>
      </ns0:tr>
      <ns0:tr>
        <ns0:trPr>
          <ns0:cantSplit/>
          <ns0:cantSplit/>
        </ns0:trPr>
        <ns0:tc>
          <ns0:tcPr>
            <ns0:tcW ns0:type="dxa" ns0:w="6624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</ns0:pPr>
            <ns0:r>
              <ns0:rPr>
                <ns0:rFonts ns0:ascii="Calibri" ns0:hAnsi="Calibri"/>
                <ns0:b ns0:val="0"/>
                <ns0:color ns0:val="000000"/>
                <ns0:sz ns0:val="20"/>
              </ns0:rPr>
              <ns0:t>Broad reporting union approximated across compatible pools.</ns0:t>
            </ns0:r>
          </ns0:p>
        </ns0:tc>
        <ns0:tc>
          <ns0:tcPr>
            <ns0:tcW ns0:type="dxa" ns0:w="1512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rPr>
                <ns0:rFonts ns0:ascii="Calibri" ns0:hAnsi="Calibri"/>
                <ns0:b ns0:val="0"/>
                <ns0:color ns0:val="000000"/>
                <ns0:sz ns0:val="20"/>
              </ns0:rPr>
              <ns0:t>Very low</ns0:t>
            </ns0:r>
          </ns0:p>
        </ns0:tc>
        <ns0:tc>
          <ns0:tcPr>
            <ns0:tcW ns0:type="dxa" ns0:w="1872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rPr>
                <ns0:rFonts ns0:ascii="Calibri" ns0:hAnsi="Calibri"/>
                <ns0:b ns0:val="0"/>
                <ns0:color ns0:val="000000"/>
                <ns0:sz ns0:val="20"/>
              </ns0:rPr>
              <ns0:t>6.2673%</ns0:t>
            </ns0:r>
          </ns0:p>
        </ns0:tc>
      </ns0:tr>
      <ns0:tr>
        <ns0:trPr>
          <ns0:cantSplit/>
          <ns0:cantSplit/>
        </ns0:trPr>
        <ns0:tc>
          <ns0:tcPr>
            <ns0:tcW ns0:type="dxa" ns0:w="6624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</ns0:pPr>
            <ns0:r>
              <ns0:rPr>
                <ns0:rFonts ns0:ascii="Calibri" ns0:hAnsi="Calibri"/>
                <ns0:b ns0:val="0"/>
                <ns0:color ns0:val="000000"/>
                <ns0:sz ns0:val="20"/>
              </ns0:rPr>
              <ns0:t>Authoritatively verified source-to-reporting synonym.</ns0:t>
            </ns0:r>
          </ns0:p>
        </ns0:tc>
        <ns0:tc>
          <ns0:tcPr>
            <ns0:tcW ns0:type="dxa" ns0:w="1512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rPr>
                <ns0:rFonts ns0:ascii="Calibri" ns0:hAnsi="Calibri"/>
                <ns0:b ns0:val="0"/>
                <ns0:color ns0:val="000000"/>
                <ns0:sz ns0:val="20"/>
              </ns0:rPr>
              <ns0:t>High</ns0:t>
            </ns0:r>
          </ns0:p>
        </ns0:tc>
        <ns0:tc>
          <ns0:tcPr>
            <ns0:tcW ns0:type="dxa" ns0:w="1872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rPr>
                <ns0:rFonts ns0:ascii="Calibri" ns0:hAnsi="Calibri"/>
                <ns0:b ns0:val="0"/>
                <ns0:color ns0:val="000000"/>
                <ns0:sz ns0:val="20"/>
              </ns0:rPr>
              <ns0:t>1.9756%</ns0:t>
            </ns0:r>
          </ns0:p>
        </ns0:tc>
      </ns0:tr>
      <ns0:tr>
        <ns0:trPr>
          <ns0:cantSplit/>
          <ns0:cantSplit/>
        </ns0:trPr>
        <ns0:tc>
          <ns0:tcPr>
            <ns0:tcW ns0:type="dxa" ns0:w="6624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</ns0:pPr>
            <ns0:r>
              <ns0:rPr>
                <ns0:rFonts ns0:ascii="Calibri" ns0:hAnsi="Calibri"/>
                <ns0:b ns0:val="0"/>
                <ns0:color ns0:val="000000"/>
                <ns0:sz ns0:val="20"/>
              </ns0:rPr>
              <ns0:t>Partial ecological fit with a material source mismatch.</ns0:t>
            </ns0:r>
          </ns0:p>
        </ns0:tc>
        <ns0:tc>
          <ns0:tcPr>
            <ns0:tcW ns0:type="dxa" ns0:w="1512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rPr>
                <ns0:rFonts ns0:ascii="Calibri" ns0:hAnsi="Calibri"/>
                <ns0:b ns0:val="0"/>
                <ns0:color ns0:val="000000"/>
                <ns0:sz ns0:val="20"/>
              </ns0:rPr>
              <ns0:t>Low</ns0:t>
            </ns0:r>
          </ns0:p>
        </ns0:tc>
        <ns0:tc>
          <ns0:tcPr>
            <ns0:tcW ns0:type="dxa" ns0:w="1872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rPr>
                <ns0:rFonts ns0:ascii="Calibri" ns0:hAnsi="Calibri"/>
                <ns0:b ns0:val="0"/>
                <ns0:color ns0:val="000000"/>
                <ns0:sz ns0:val="20"/>
              </ns0:rPr>
              <ns0:t>0.0000%</ns0:t>
            </ns0:r>
          </ns0:p>
        </ns0:tc>
      </ns0:tr>
    </ns0:tbl>
    <ns0:p>
      <ns0:pPr>
        <ns0:keepNext ns0:val="0"/>
        <ns0:pageBreakBefore ns0:val="0"/>
        <ns0:spacing ns0:after="120"/>
      </ns0:pPr>
      <ns0:r>
        <ns0:t xml:space="preserve">Membership evidence: </ns0:t>
      </ns0:r>
      <ns0:hyperlink ns2:id="rId20">
        <ns0:r>
          <ns0:rPr>
            <ns0:color ns0:val="0563C1"/>
            <ns0:u ns0:val="single"/>
          </ns0:rPr>
          <ns0:t>main Table 1 and Section 2.3</ns0:t>
        </ns0:r>
      </ns0:hyperlink>
      <ns0:r>
        <ns0:t xml:space="preserve">, </ns0:t>
      </ns0:r>
      <ns0:hyperlink ns2:id="rId12">
        <ns0:r>
          <ns0:rPr>
            <ns0:color ns0:val="0563C1"/>
            <ns0:u ns0:val="single"/>
          </ns0:rPr>
          <ns0:t>partial Supplement 1</ns0:t>
        </ns0:r>
      </ns0:hyperlink>
      <ns0:r>
        <ns0:t xml:space="preserve">, </ns0:t>
      </ns0:r>
      <ns0:hyperlink ns2:id="rId21">
        <ns0:r>
          <ns0:rPr>
            <ns0:color ns0:val="0563C1"/>
            <ns0:u ns0:val="single"/>
          </ns0:rPr>
          <ns0:t>exact taxonomy and traits</ns0:t>
        </ns0:r>
      </ns0:hyperlink>
      <ns0:r>
        <ns0:t xml:space="preserve"> and </ns0:t>
      </ns0:r>
      <ns0:hyperlink ns2:id="rId22">
        <ns0:r>
          <ns0:rPr>
            <ns0:color ns0:val="0563C1"/>
            <ns0:u ns0:val="single"/>
          </ns0:rPr>
          <ns0:t>all decisions</ns0:t>
        </ns0:r>
      </ns0:hyperlink>
    </ns0:p>
    <ns0:p>
      <ns0:pPr>
        <ns0:keepNext/>
        <ns0:pageBreakBefore/>
        <ns0:spacing ns0:after="120"/>
      </ns0:pPr>
      <ns0:r>
        <ns0:rPr>
          <ns0:rFonts ns0:ascii="Calibri" ns0:hAnsi="Calibri"/>
          <ns0:b/>
          <ns0:color ns0:val="000000"/>
          <ns0:sz ns0:val="23"/>
        </ns0:rPr>
        <ns0:t>Allocation weight rules</ns0:t>
      </ns0:r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</ns0:tblPr>
      <ns0:tblGrid>
        <ns0:gridCol ns0:w="6624"/>
        <ns0:gridCol ns0:w="1512"/>
        <ns0:gridCol ns0:w="1872"/>
      </ns0:tblGrid>
      <ns0:tr>
        <ns0:trPr>
          <ns0:tblHeader/>
          <ns0:cantSplit/>
          <ns0:tblHeader/>
          <ns0:cantSplit/>
        </ns0:trPr>
        <ns0:tc>
          <ns0:tcPr>
            <ns0:tcW ns0:type="dxa" ns0:w="6624"/>
            <ns0:shd ns0:fill="DDE9EE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</ns0:pPr>
            <ns0:r>
              <ns0:rPr>
                <ns0:rFonts ns0:ascii="Calibri" ns0:hAnsi="Calibri"/>
                <ns0:b/>
                <ns0:color ns0:val="000000"/>
                <ns0:sz ns0:val="20"/>
              </ns0:rPr>
              <ns0:t>Plain-language rule</ns0:t>
            </ns0:r>
          </ns0:p>
        </ns0:tc>
        <ns0:tc>
          <ns0:tcPr>
            <ns0:tcW ns0:type="dxa" ns0:w="1512"/>
            <ns0:shd ns0:fill="DDE9EE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rPr>
                <ns0:rFonts ns0:ascii="Calibri" ns0:hAnsi="Calibri"/>
                <ns0:b/>
                <ns0:color ns0:val="000000"/>
                <ns0:sz ns0:val="20"/>
              </ns0:rPr>
              <ns0:t>Confidence</ns0:t>
            </ns0:r>
          </ns0:p>
        </ns0:tc>
        <ns0:tc>
          <ns0:tcPr>
            <ns0:tcW ns0:type="dxa" ns0:w="1872"/>
            <ns0:shd ns0:fill="DDE9EE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rPr>
                <ns0:rFonts ns0:ascii="Calibri" ns0:hAnsi="Calibri"/>
                <ns0:b/>
                <ns0:color ns0:val="000000"/>
                <ns0:sz ns0:val="20"/>
              </ns0:rPr>
              <ns0:t>PPR percentage</ns0:t>
            </ns0:r>
          </ns0:p>
        </ns0:tc>
      </ns0:tr>
      <ns0:tr>
        <ns0:trPr>
          <ns0:cantSplit/>
          <ns0:cantSplit/>
        </ns0:trPr>
        <ns0:tc>
          <ns0:tcPr>
            <ns0:tcW ns0:type="dxa" ns0:w="6624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</ns0:pPr>
            <ns0:r>
              <ns0:rPr>
                <ns0:rFonts ns0:ascii="Calibri" ns0:hAnsi="Calibri"/>
                <ns0:b ns0:val="0"/>
                <ns0:color ns0:val="000000"/>
                <ns0:sz ns0:val="20"/>
              </ns0:rPr>
              <ns0:t>One reviewed group; no numerical split.</ns0:t>
            </ns0:r>
          </ns0:p>
        </ns0:tc>
        <ns0:tc>
          <ns0:tcPr>
            <ns0:tcW ns0:type="dxa" ns0:w="1512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rPr>
                <ns0:rFonts ns0:ascii="Calibri" ns0:hAnsi="Calibri"/>
                <ns0:b ns0:val="0"/>
                <ns0:color ns0:val="000000"/>
                <ns0:sz ns0:val="20"/>
              </ns0:rPr>
              <ns0:t>High</ns0:t>
            </ns0:r>
          </ns0:p>
        </ns0:tc>
        <ns0:tc>
          <ns0:tcPr>
            <ns0:tcW ns0:type="dxa" ns0:w="1872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rPr>
                <ns0:rFonts ns0:ascii="Calibri" ns0:hAnsi="Calibri"/>
                <ns0:b ns0:val="0"/>
                <ns0:color ns0:val="000000"/>
                <ns0:sz ns0:val="20"/>
              </ns0:rPr>
              <ns0:t>54.5095%</ns0:t>
            </ns0:r>
          </ns0:p>
        </ns0:tc>
      </ns0:tr>
      <ns0:tr>
        <ns0:trPr>
          <ns0:cantSplit/>
          <ns0:cantSplit/>
        </ns0:trPr>
        <ns0:tc>
          <ns0:tcPr>
            <ns0:tcW ns0:type="dxa" ns0:w="6624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</ns0:pPr>
            <ns0:r>
              <ns0:rPr>
                <ns0:rFonts ns0:ascii="Calibri" ns0:hAnsi="Calibri"/>
                <ns0:b ns0:val="0"/>
                <ns0:color ns0:val="000000"/>
                <ns0:sz ns0:val="20"/>
              </ns0:rPr>
              <ns0:t>Complete whole-domain biomass after incomplete/censored catch.</ns0:t>
            </ns0:r>
          </ns0:p>
        </ns0:tc>
        <ns0:tc>
          <ns0:tcPr>
            <ns0:tcW ns0:type="dxa" ns0:w="1512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rPr>
                <ns0:rFonts ns0:ascii="Calibri" ns0:hAnsi="Calibri"/>
                <ns0:b ns0:val="0"/>
                <ns0:color ns0:val="000000"/>
                <ns0:sz ns0:val="20"/>
              </ns0:rPr>
              <ns0:t>Medium</ns0:t>
            </ns0:r>
          </ns0:p>
        </ns0:tc>
        <ns0:tc>
          <ns0:tcPr>
            <ns0:tcW ns0:type="dxa" ns0:w="1872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rPr>
                <ns0:rFonts ns0:ascii="Calibri" ns0:hAnsi="Calibri"/>
                <ns0:b ns0:val="0"/>
                <ns0:color ns0:val="000000"/>
                <ns0:sz ns0:val="20"/>
              </ns0:rPr>
              <ns0:t>29.6102%</ns0:t>
            </ns0:r>
          </ns0:p>
        </ns0:tc>
      </ns0:tr>
      <ns0:tr>
        <ns0:trPr>
          <ns0:cantSplit/>
          <ns0:cantSplit/>
        </ns0:trPr>
        <ns0:tc>
          <ns0:tcPr>
            <ns0:tcW ns0:type="dxa" ns0:w="6624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</ns0:pPr>
            <ns0:r>
              <ns0:rPr>
                <ns0:rFonts ns0:ascii="Calibri" ns0:hAnsi="Calibri"/>
                <ns0:b ns0:val="0"/>
                <ns0:color ns0:val="000000"/>
                <ns0:sz ns0:val="20"/>
              </ns0:rPr>
              <ns0:t>Complete printed source Landings proportions, used as a proxy.</ns0:t>
            </ns0:r>
          </ns0:p>
        </ns0:tc>
        <ns0:tc>
          <ns0:tcPr>
            <ns0:tcW ns0:type="dxa" ns0:w="1512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rPr>
                <ns0:rFonts ns0:ascii="Calibri" ns0:hAnsi="Calibri"/>
                <ns0:b ns0:val="0"/>
                <ns0:color ns0:val="000000"/>
                <ns0:sz ns0:val="20"/>
              </ns0:rPr>
              <ns0:t>Medium</ns0:t>
            </ns0:r>
          </ns0:p>
        </ns0:tc>
        <ns0:tc>
          <ns0:tcPr>
            <ns0:tcW ns0:type="dxa" ns0:w="1872"/>
            <ns0:shd ns0:fill="FFFFFF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tcMar>
              <ns0:top ns0:w="75" ns0:type="dxa"/>
              <ns0:left ns0:w="75" ns0:type="dxa"/>
              <ns0:bottom ns0:w="75" ns0:type="dxa"/>
              <ns0:right ns0:w="75" ns0:type="dxa"/>
            </ns0:tcMar>
          </ns0:tcPr>
          <ns0:p>
            <ns0:pPr>
              <ns0:spacing ns0:after="40" ns0:before="40"/>
              <ns0:jc ns0:val="center"/>
            </ns0:pPr>
            <ns0:r>
              <ns0:rPr>
                <ns0:rFonts ns0:ascii="Calibri" ns0:hAnsi="Calibri"/>
                <ns0:b ns0:val="0"/>
                <ns0:color ns0:val="000000"/>
                <ns0:sz ns0:val="20"/>
              </ns0:rPr>
              <ns0:t>15.8803%</ns0:t>
            </ns0:r>
          </ns0:p>
        </ns0:tc>
      </ns0:tr>
    </ns0:tbl>
    <ns0:p>
      <ns0:pPr>
        <ns0:keepNext ns0:val="0"/>
        <ns0:pageBreakBefore ns0:val="0"/>
        <ns0:spacing ns0:after="120"/>
      </ns0:pPr>
      <ns0:r>
        <ns0:rPr>
          <ns0:rFonts ns0:ascii="Calibri" ns0:hAnsi="Calibri"/>
          <ns0:b ns0:val="0"/>
          <ns0:color ns0:val="000000"/>
          <ns0:sz ns0:val="21"/>
        </ns0:rPr>
        <ns0:t xml:space="preserve">Weights and assumptions: complete 2013 source Landings first; otherwise complete total-area biomass. Censored &lt;0.01 and dash/missing catch never become measured zero. No second habitat fraction is applied. Proxies assume composition/catchability and remain fixed across years and catch bases. No usable source catch time-series or observed caught-stage split was recovered. Each table partitions the same simple-chain PPR. </ns0:t>
      </ns0:r>
      <ns0:hyperlink ns2:id="rId23">
        <ns0:r>
          <ns0:rPr>
            <ns0:color ns0:val="0563C1"/>
            <ns0:u ns0:val="single"/>
          </ns0:rPr>
          <ns0:t>Complete candidate vectors</ns0:t>
        </ns0:r>
      </ns0:hyperlink>
    </ns0:p>
    <ns0:p>
      <ns0:pPr>
        <ns0:keepNext ns0:val="0"/>
        <ns0:pageBreakBefore ns0:val="0"/>
        <ns0:spacing ns0:after="120"/>
      </ns0:pPr>
      <ns0:r>
        <ns0:rPr>
          <ns0:rFonts ns0:ascii="Calibri" ns0:hAnsi="Calibri"/>
          <ns0:b ns0:val="0"/>
          <ns0:color ns0:val="000000"/>
          <ns0:sz ns0:val="21"/>
        </ns0:rPr>
        <ns0:t xml:space="preserve">Unresolved: none. Very low: 94 labels account for 32.9568% of landings and 18.9463% of simple-chain PPR. They include broad bony/invertebrate pools and unrepresented reef/deep fish, jellyfish and benthic cephalopods. Broad Sepiida includes bobtail depth habitats; narrower octopus/cuttlefish labels use benthos analogues. Very low all-source model PPR shares: GE 13.71%; TE 24.49%; With Egestion 15.10%; TE remains failed. </ns0:t>
      </ns0:r>
      <ns0:hyperlink ns2:id="rId18">
        <ns0:r>
          <ns0:rPr>
            <ns0:color ns0:val="0563C1"/>
            <ns0:u ns0:val="single"/>
          </ns0:rPr>
          <ns0:t>Exact flagged appendix rows</ns0:t>
        </ns0:r>
      </ns0:hyperlink>
      <ns0:r>
        <ns0:t xml:space="preserve"> | </ns0:t>
      </ns0:r>
      <ns0:hyperlink ns2:id="rId24">
        <ns0:r>
          <ns0:rPr>
            <ns0:color ns0:val="0563C1"/>
            <ns0:u ns0:val="single"/>
          </ns0:rPr>
          <ns0:t>Largest method contributors</ns0:t>
        </ns0:r>
      </ns0:hyperlink>
    </ns0:p>
    <ns0:p>
      <ns0:pPr>
        <ns0:pStyle ns0:val="Title"/>
        <ns0:pageBreakBefore/>
        <ns0:keepNext/>
        <ns0:pageBreakBefore/>
      </ns0:pPr>
      <ns0:r>
        <ns0:t>Geographic evidence screenshots</ns0:t>
      </ns0:r>
    </ns0:p>
    <ns0:p>
      <ns0:pPr>
        <ns0:spacing ns0:after="40" ns0:before="0" ns0:line="240" ns0:lineRule="auto"/>
      </ns0:pPr>
      <ns0:r>
        <ns0:rPr>
          <ns0:rFonts ns0:ascii="Calibri" ns0:hAnsi="Calibri"/>
          <ns0:sz ns0:val="21"/>
          <ns0:color ns0:val="000000"/>
        </ns0:rPr>
        <ns0:t>R is the Sea Around Us Kuroshio Current LME. S is the calibrated colored KC/OYC/OF footprint in original Figure 1. This graphical reconstruction has Low confidence; enclosing 30–50°N/150°E prose does not establish a full rectangular study polygon.</ns0:t>
      </ns0:r>
    </ns0:p>
    <ns0:p>
      <ns0:pPr>
        <ns0:pStyle ns0:val="Heading2"/>
        <ns0:keepNext/>
      </ns0:pPr>
      <ns0:r>
        <ns0:t>Region area</ns0:t>
      </ns0:r>
    </ns0:p>
    <ns0:tbl>
      <ns0:tblPr>
        <ns0:tblW ns0:type="auto" ns0:w="0"/>
        <ns0:jc ns0:val="center"/>
        <ns0:tblLayout ns0:type="fixed"/>
        <ns0:tblLook ns0:firstColumn="1" ns0:firstRow="1" ns0:lastColumn="0" ns0:lastRow="0" ns0:noHBand="0" ns0:noVBand="1" ns0:val="04A0"/>
      </ns0:tblPr>
      <ns0:tblGrid>
        <ns0:gridCol ns0:w="10037"/>
      </ns0:tblGrid>
      <ns0:tr>
        <ns0:trPr>
          <ns0:cantSplit/>
          <ns0:tblHeader/>
          <ns0:tblHeader/>
          <ns0:cantSplit/>
        </ns0:trPr>
        <ns0:tc>
          <ns0:tcPr>
            <ns0:tcW ns0:type="dxa" ns0:w="10037"/>
            <ns0:vAlign ns0:val="center"/>
            <ns0:shd ns0:fill="E5ECF0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b/>
                <ns0:sz ns0:val="21"/>
              </ns0:rPr>
              <ns0:t>Target LME049 and calibrated source-colored domain</ns0:t>
            </ns0:r>
          </ns0:p>
        </ns0:tc>
      </ns0:tr>
      <ns0:tr>
        <ns0:trPr>
          <ns0:cantSplit/>
          <ns0:trHeight ns0:val="2880" ns0:hRule="atLeast"/>
          <ns0:cantSplit/>
        </ns0:trPr>
        <ns0:tc>
          <ns0:tcPr>
            <ns0:tcW ns0:type="dxa" ns0:w="10037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 ns0:before="0" ns0:line="240" ns0:lineRule="auto"/>
            </ns0:pPr>
            <ns0:r>
              <ns0:rPr>
                <ns0:rFonts ns0:ascii="Calibri" ns0:hAnsi="Calibri"/>
                <ns0:sz ns0:val="21"/>
                <ns0:color ns0:val="000000"/>
              </ns0:rPr>
            </ns0:r>
            <ns0:r>
              <ns0:drawing>
                <ns3:inline>
                  <ns3:extent cx="4983480" cy="3876040"/>
                  <ns3:docPr id="1" name="Picture 1"/>
                  <ns3:cNvGraphicFramePr>
                    <ns4:graphicFrameLocks noChangeAspect="1"/>
                  </ns3:cNvGraphicFramePr>
                  <ns4:graphic>
                    <ns4:graphicData uri="http://schemas.openxmlformats.org/drawingml/2006/picture">
                      <ns5:pic>
                        <ns5:nvPicPr>
                          <ns5:cNvPr id="0" name="target_trace_controls.png"/>
                          <ns5:cNvPicPr/>
                        </ns5:nvPicPr>
                        <ns5:blipFill>
                          <ns4:blip ns2:embed="rId25"/>
                          <ns4:stretch>
                            <ns4:fillRect/>
                          </ns4:stretch>
                        </ns5:blipFill>
                        <ns5:spPr>
                          <ns4:xfrm>
                            <ns4:off x="0" y="0"/>
                            <ns4:ext cx="4983480" cy="3876040"/>
                          </ns4:xfrm>
                          <ns4:prstGeom prst="rect"/>
                        </ns5:spPr>
                      </ns5:pic>
                    </ns4:graphicData>
                  </ns4:graphic>
                </ns3:inline>
              </ns0:drawing>
            </ns0:r>
          </ns0:p>
        </ns0:tc>
      </ns0:tr>
    </ns0:tbl>
    <ns0:p>
      <ns0:pPr>
        <ns0:spacing ns0:after="40" ns0:before="0" ns0:line="240" ns0:lineRule="auto"/>
      </ns0:pPr>
      <ns0:r>
        <ns0:rPr>
          <ns0:rFonts ns0:ascii="Calibri" ns0:hAnsi="Calibri"/>
          <ns0:sz ns0:val="20"/>
          <ns0:color ns0:val="000000"/>
        </ns0:rPr>
        <ns0:t xml:space="preserve">Target R: 1,320,443 km². Central trace S: 887,821 km²; intersection 448,167 km². Approximate A/B ranges include ±0.10° graphical sensitivity. Fourteen ordered water/land controls pass. Generalized coastline and schematic grid boundaries limit accuracy. </ns0:t>
      </ns0:r>
      <ns0:r>
        <ns0:t xml:space="preserve"> </ns0:t>
      </ns0:r>
      <ns0:hyperlink ns2:id="rId27">
        <ns0:r>
          <ns0:rPr>
            <ns0:color ns0:val="0563C1"/>
            <ns0:u ns0:val="single"/>
          </ns0:rPr>
          <ns0:t>Target polygon</ns0:t>
        </ns0:r>
      </ns0:hyperlink>
      <ns0:r>
        <ns0:t xml:space="preserve"> | </ns0:t>
      </ns0:r>
      <ns0:hyperlink ns2:id="rId28">
        <ns0:r>
          <ns0:rPr>
            <ns0:color ns0:val="0563C1"/>
            <ns0:u ns0:val="single"/>
          </ns0:rPr>
          <ns0:t>Calibrated trace</ns0:t>
        </ns0:r>
      </ns0:hyperlink>
    </ns0:p>
    <ns0:p>
      <ns0:pPr>
        <ns0:pStyle ns0:val="Heading2"/>
        <ns0:keepNext/>
        <ns0:pageBreakBefore/>
      </ns0:pPr>
      <ns0:r>
        <ns0:t>Study area in the article</ns0:t>
      </ns0:r>
    </ns0:p>
    <ns0:tbl>
      <ns0:tblPr>
        <ns0:tblW ns0:type="auto" ns0:w="0"/>
        <ns0:jc ns0:val="center"/>
        <ns0:tblLayout ns0:type="fixed"/>
        <ns0:tblLook ns0:firstColumn="1" ns0:firstRow="1" ns0:lastColumn="0" ns0:lastRow="0" ns0:noHBand="0" ns0:noVBand="1" ns0:val="04A0"/>
      </ns0:tblPr>
      <ns0:tblGrid>
        <ns0:gridCol ns0:w="10037"/>
      </ns0:tblGrid>
      <ns0:tr>
        <ns0:trPr>
          <ns0:cantSplit/>
          <ns0:tblHeader/>
          <ns0:tblHeader/>
          <ns0:cantSplit/>
        </ns0:trPr>
        <ns0:tc>
          <ns0:tcPr>
            <ns0:tcW ns0:type="dxa" ns0:w="10037"/>
            <ns0:vAlign ns0:val="center"/>
            <ns0:shd ns0:fill="E5ECF0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/>
            </ns0:pPr>
            <ns0:r>
              <ns0:rPr>
                <ns0:b/>
                <ns0:sz ns0:val="21"/>
              </ns0:rPr>
              <ns0:t>Original Figure 1 with coastal and offshore study blocks</ns0:t>
            </ns0:r>
          </ns0:p>
        </ns0:tc>
      </ns0:tr>
      <ns0:tr>
        <ns0:trPr>
          <ns0:cantSplit/>
          <ns0:trHeight ns0:val="2880" ns0:hRule="atLeast"/>
          <ns0:cantSplit/>
        </ns0:trPr>
        <ns0:tc>
          <ns0:tcPr>
            <ns0:tcW ns0:type="dxa" ns0:w="10037"/>
            <ns0:vAlign ns0:val="center"/>
            <ns0:shd ns0:fill="FFFFFF"/>
            <ns0:tcMar>
              <ns0:top ns0:w="90" ns0:type="dxa"/>
              <ns0:bottom ns0:w="90" ns0:type="dxa"/>
              <ns0:left ns0:w="110" ns0:type="dxa"/>
              <ns0:right ns0:w="110" ns0:type="dxa"/>
            </ns0:tcMar>
            <ns0:tcBorders>
              <ns0:top ns0:val="single" ns0:sz="5" ns0:color="D9D9D9"/>
              <ns0:left ns0:val="single" ns0:sz="5" ns0:color="D9D9D9"/>
              <ns0:bottom ns0:val="single" ns0:sz="5" ns0:color="D9D9D9"/>
              <ns0:right ns0:val="single" ns0:sz="5" ns0:color="D9D9D9"/>
            </ns0:tcBorders>
          </ns0:tcPr>
          <ns0:p>
            <ns0:pPr>
              <ns0:spacing ns0:after="40" ns0:before="0" ns0:line="240" ns0:lineRule="auto"/>
            </ns0:pPr>
            <ns0:r>
              <ns0:rPr>
                <ns0:rFonts ns0:ascii="Calibri" ns0:hAnsi="Calibri"/>
                <ns0:sz ns0:val="21"/>
                <ns0:color ns0:val="000000"/>
              </ns0:rPr>
            </ns0:r>
            <ns0:r>
              <ns0:drawing>
                <ns3:inline>
                  <ns3:extent cx="4983480" cy="3797741"/>
                  <ns3:docPr id="2" name="Picture 2"/>
                  <ns3:cNvGraphicFramePr>
                    <ns4:graphicFrameLocks noChangeAspect="1"/>
                  </ns3:cNvGraphicFramePr>
                  <ns4:graphic>
                    <ns4:graphicData uri="http://schemas.openxmlformats.org/drawingml/2006/picture">
                      <ns5:pic>
                        <ns5:nvPicPr>
                          <ns5:cNvPr id="0" name="Figure1_native.png"/>
                          <ns5:cNvPicPr/>
                        </ns5:nvPicPr>
                        <ns5:blipFill>
                          <ns4:blip ns2:embed="rId26"/>
                          <ns4:stretch>
                            <ns4:fillRect/>
                          </ns4:stretch>
                        </ns5:blipFill>
                        <ns5:spPr>
                          <ns4:xfrm>
                            <ns4:off x="0" y="0"/>
                            <ns4:ext cx="4983480" cy="3797741"/>
                          </ns4:xfrm>
                          <ns4:prstGeom prst="rect"/>
                        </ns5:spPr>
                      </ns5:pic>
                    </ns4:graphicData>
                  </ns4:graphic>
                </ns3:inline>
              </ns0:drawing>
            </ns0:r>
          </ns0:p>
        </ns0:tc>
      </ns0:tr>
    </ns0:tbl>
    <ns0:p>
      <ns0:pPr>
        <ns0:spacing ns0:after="40" ns0:before="0" ns0:line="240" ns0:lineRule="auto"/>
      </ns0:pPr>
      <ns0:r>
        <ns0:rPr>
          <ns0:rFonts ns0:ascii="Calibri" ns0:hAnsi="Calibri"/>
          <ns0:sz ns0:val="20"/>
          <ns0:color ns0:val="000000"/>
        </ns0:rPr>
        <ns0:t xml:space="preserve">Original main PDF 3/printed 296. KC and OYC are coastal water pools; offshore OF is the colored stepped wedge. Current arrows and the transition-zone ellipse are overlays, not water exclusions. Published source area 913,102 km² is separate from traced area. No geographic multiplier is applied. </ns0:t>
      </ns0:r>
      <ns0:r>
        <ns0:t xml:space="preserve"> </ns0:t>
      </ns0:r>
      <ns0:hyperlink ns2:id="rId29">
        <ns0:r>
          <ns0:rPr>
            <ns0:color ns0:val="0563C1"/>
            <ns0:u ns0:val="single"/>
          </ns0:rPr>
          <ns0:t>Original Figure 1</ns0:t>
        </ns0:r>
      </ns0:hyperlink>
      <ns0:r>
        <ns0:t xml:space="preserve"> | </ns0:t>
      </ns0:r>
      <ns0:hyperlink ns2:id="rId30">
        <ns0:r>
          <ns0:rPr>
            <ns0:color ns0:val="0563C1"/>
            <ns0:u ns0:val="single"/>
          </ns0:rPr>
          <ns0:t>Assessment and controls</ns0:t>
        </ns0:r>
      </ns0:hyperlink>
    </ns0:p>
    <ns0:p>
      <ns0:pPr>
        <ns0:spacing ns0:after="40" ns0:before="0" ns0:line="240" ns0:lineRule="auto"/>
      </ns0:pPr>
      <ns0:r>
        <ns0:rPr>
          <ns0:rFonts ns0:ascii="Calibri" ns0:hAnsi="Calibri"/>
          <ns0:sz ns0:val="20"/>
          <ns0:color ns0:val="000000"/>
        </ns0:rPr>
        <ns0:t>Figure 1 and methods give KC 186,220 and OYC 186,128 km²; Table 4 reverses those labels while preserving the total. The discrepancy is retained as source context without changing accepted model inputs.</ns0:t>
      </ns0:r>
    </ns0:p>
    <ns0:sectPr ns0:rsidR="00FC693F" ns0:rsidRPr="0006063C" ns0:rsidSect="00034616">
      <ns0:type ns0:val="nextPage"/>
      <ns0:pgSz ns0:w="11909" ns0:h="16834"/>
      <ns0:pgMar ns0:top="936" ns0:right="936" ns0:bottom="936" ns0:left="936" ns0:header="720" ns0:footer="720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47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?>
<ns0:Relationships xmlns:ns0="http://schemas.openxmlformats.org/package/2006/relationships"><ns0:Relationship Id="rId3" Type="http://schemas.openxmlformats.org/officeDocument/2006/relationships/styles" Target="styles.xml" /><ns0:Relationship Id="rId4" Type="http://schemas.microsoft.com/office/2007/relationships/stylesWithEffects" Target="stylesWithEffects.xml" /><ns0:Relationship Id="rId5" Type="http://schemas.openxmlformats.org/officeDocument/2006/relationships/settings" Target="settings.xml" /><ns0:Relationship Id="rId6" Type="http://schemas.openxmlformats.org/officeDocument/2006/relationships/webSettings" Target="webSettings.xml" /><ns0:Relationship Id="rId7" Type="http://schemas.openxmlformats.org/officeDocument/2006/relationships/fontTable" Target="fontTable.xml" /><ns0:Relationship Id="rId8" Type="http://schemas.openxmlformats.org/officeDocument/2006/relationships/theme" Target="theme/theme1.xml" /><ns0:Relationship Id="rId1" Type="http://schemas.openxmlformats.org/officeDocument/2006/relationships/customXml" Target="../customXml/item1.xml" /><ns0:Relationship Id="rId2" Type="http://schemas.openxmlformats.org/officeDocument/2006/relationships/numbering" Target="numbering.xml" /><ns0:Relationship Id="rIdValidation1" Type="http://schemas.openxmlformats.org/officeDocument/2006/relationships/hyperlink" Target="[Excel_appendix.xlsx]" TargetMode="External" /><ns0:Relationship Id="rId9" Type="http://schemas.openxmlformats.org/officeDocument/2006/relationships/hyperlink" Target="../../../../../LME_049.xlsx" TargetMode="External" /><ns0:Relationship Id="rId10" Type="http://schemas.openxmlformats.org/officeDocument/2006/relationships/hyperlink" Target="../../../../../raw/catch/LME_049-catch.zip" TargetMode="External" /><ns0:Relationship Id="rId11" Type="http://schemas.openxmlformats.org/officeDocument/2006/relationships/hyperlink" Target="../../../sources/Watari-Ecosystemmodelingwestern-2019.pdf" TargetMode="External" /><ns0:Relationship Id="rId12" Type="http://schemas.openxmlformats.org/officeDocument/2006/relationships/hyperlink" Target="evidence/source_review/publisher_supplement_web_reader.json" TargetMode="External" /><ns0:Relationship Id="rId13" Type="http://schemas.openxmlformats.org/officeDocument/2006/relationships/hyperlink" Target="../../../../KUR-2025/sources/1-s2.0-S0304380025001371-main.pdf" TargetMode="External" /><ns0:Relationship Id="rId14" Type="http://schemas.openxmlformats.org/officeDocument/2006/relationships/hyperlink" Target="../model.json" TargetMode="External" /><ns0:Relationship Id="rId15" Type="http://schemas.openxmlformats.org/officeDocument/2006/relationships/hyperlink" Target="../../49_20192013_Western_North_Pacific_Watari_(2013)/model.json" TargetMode="External" /><ns0:Relationship Id="rId16" Type="http://schemas.openxmlformats.org/officeDocument/2006/relationships/hyperlink" Target="evidence/source_review/source_review.md" TargetMode="External" /><ns0:Relationship Id="rId17" Type="http://schemas.openxmlformats.org/officeDocument/2006/relationships/hyperlink" Target="evidence/source_review/matrix_inspection.json" TargetMode="External" /><ns0:Relationship Id="rId18" Type="http://schemas.openxmlformats.org/officeDocument/2006/relationships/hyperlink" Target="taxon_mapping.xlsx" TargetMode="External" /><ns0:Relationship Id="rId19" Type="http://schemas.openxmlformats.org/officeDocument/2006/relationships/hyperlink" Target="taxon_mapping.xlsx#Sources%21A1" TargetMode="External" /><ns0:Relationship Id="rId20" Type="http://schemas.openxmlformats.org/officeDocument/2006/relationships/hyperlink" Target="../../../sources/Watari-Ecosystemmodelingwestern-2019.pdf#page=5" TargetMode="External" /><ns0:Relationship Id="rId21" Type="http://schemas.openxmlformats.org/officeDocument/2006/relationships/hyperlink" Target="evidence/source_review/appendix_sources.json" TargetMode="External" /><ns0:Relationship Id="rId22" Type="http://schemas.openxmlformats.org/officeDocument/2006/relationships/hyperlink" Target="evidence/source_review/taxon_audit.json" TargetMode="External" /><ns0:Relationship Id="rId23" Type="http://schemas.openxmlformats.org/officeDocument/2006/relationships/hyperlink" Target="evidence/source_review/candidate_and_allocation_evidence.json" TargetMode="External" /><ns0:Relationship Id="rId24" Type="http://schemas.openxmlformats.org/officeDocument/2006/relationships/hyperlink" Target="evidence/source_review/method_specific_mapping_exposure.json" TargetMode="External" /><ns0:Relationship Id="rId25" Type="http://schemas.openxmlformats.org/officeDocument/2006/relationships/image" Target="media/image1.png" /><ns0:Relationship Id="rId26" Type="http://schemas.openxmlformats.org/officeDocument/2006/relationships/image" Target="media/image2.png" /><ns0:Relationship Id="rId27" Type="http://schemas.openxmlformats.org/officeDocument/2006/relationships/hyperlink" Target="evidence/source_review/geography/target_LME049.geojson" TargetMode="External" /><ns0:Relationship Id="rId28" Type="http://schemas.openxmlformats.org/officeDocument/2006/relationships/hyperlink" Target="evidence/source_review/geography/Figure1_colored_study_trace_draft.geojson" TargetMode="External" /><ns0:Relationship Id="rId29" Type="http://schemas.openxmlformats.org/officeDocument/2006/relationships/hyperlink" Target="../../../sources/Watari-Ecosystemmodelingwestern-2019.pdf#page=3" TargetMode="External" /><ns0:Relationship Id="rId30" Type="http://schemas.openxmlformats.org/officeDocument/2006/relationships/hyperlink" Target="evidence/source_review/geography/geography_trace_assessment.json" TargetMode="External" /><ns0:Relationship Id="rIdModelNotes" Type="http://schemas.openxmlformats.org/officeDocument/2006/relationships/hyperlink" Target="../model_notes.md" TargetMode="External" /></ns0: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Regional model validation template</dc:title>
  <dc:subject>Reusable evidence summary and LLM completion instructions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