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t>Sea of Japan / East Sea model validation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Sea of Japan / East Sea, LME_050; Sea Around Us target boundary.</ns0:t>
            </ns0:r>
            <ns0:r>
              <ns0:t xml:space="preserve"> </ns0:t>
            </ns0:r>
            <ns0:hyperlink ns2:id="rId9">
              <ns0:r>
                <ns0:rPr>
                  <ns0:color ns0:val="0563C1"/>
                  <ns0:u ns0:val="single"/>
                </ns0:rPr>
                <ns0:t>Regional workbook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Sea Around Us v50.1, 1950–2019. Reference: 2019 landings, including reported and unreported retained catch; discards separate.</ns0:t>
            </ns0:r>
            <ns0:r>
              <ns0:t xml:space="preserve"> </ns0:t>
            </ns0:r>
            <ns0:hyperlink ns2:id="rId10">
              <ns0:r>
                <ns0:rPr>
                  <ns0:color ns0:val="0563C1"/>
                  <ns0:u ns0:val="single"/>
                </ns0:rPr>
                <ns0:t>Raw catch</ns0:t>
              </ns0:r>
            </ns0:hyperlink>
            <ns0:r>
              <ns0:t xml:space="preserve"> | </ns0:t>
            </ns0:r>
            <ns0:hyperlink ns2:id="rId11">
              <ns0:r>
                <ns0:rPr>
                  <ns0:color ns0:val="0563C1"/>
                  <ns0:u ns0:val="single"/>
                </ns0:rPr>
                <ns0:t>Taxon/TL source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Inoue, Watari, Sawada, Lavergne &amp; Yamashita (2023), Impacts of regime shift on the fishery ecosystem in the coastal area of Kyoto prefecture, Sea of Japan, assessed using the Ecopath model. Fisheries Science 89:573–593; DOI 10.1007/s12562-023-01691-9.</ns0:t>
            </ns0:r>
            <ns0:r>
              <ns0:t xml:space="preserve"> </ns0:t>
            </ns0:r>
            <ns0:hyperlink ns2:id="rId12">
              <ns0:r>
                <ns0:rPr>
                  <ns0:color ns0:val="0563C1"/>
                  <ns0:u ns0:val="single"/>
                </ns0:rPr>
                <ns0:t>Main paper</ns0:t>
              </ns0:r>
            </ns0:hyperlink>
            <ns0:r>
              <ns0:t xml:space="preserve"> | </ns0:t>
            </ns0:r>
            <ns0:hyperlink ns2:id="rId13">
              <ns0:r>
                <ns0:rPr>
                  <ns0:color ns0:val="0563C1"/>
                  <ns0:u ns0:val="single"/>
                </ns0:rPr>
                <ns0:t>Publisher supplement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other candidate article is recorded for this selection. The 2024 publisher correction concerns Open Choice/copyright; it supplies no numeric or year-specific diet correction.</ns0:t>
            </ns0:r>
            <ns0:r>
              <ns0:t xml:space="preserve"> </ns0:t>
            </ns0:r>
            <ns0:hyperlink ns2:id="rId14">
              <ns0:r>
                <ns0:rPr>
                  <ns0:color ns0:val="0563C1"/>
                  <ns0:u ns0:val="single"/>
                </ns0:rPr>
                <ns0:t>Publisher correction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50_502013_Coastal_Kyoto_Inoue_(2013); static 2013 coastal Kyoto model, reported 2,230 km² from the coastline to 240 m depth. 40 ecological groups plus synthetic diet_import (41).</ns0:t>
            </ns0:r>
            <ns0:r>
              <ns0:t xml:space="preserve"> </ns0:t>
            </ns0:r>
            <ns0:hyperlink ns2:id="rId15">
              <ns0:r>
                <ns0:rPr>
                  <ns0:color ns0:val="0563C1"/>
                  <ns0:u ns0:val="single"/>
                </ns0:rPr>
                <ns0:t>Selected JSON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50_501985_Coastal_Kyoto_Inoue_(1985), cold-regime counterpart, remains an explicitly good comparison candidate. Both years use the shared, year-ambiguous published diet matrix.</ns0:t>
            </ns0:r>
            <ns0:r>
              <ns0:t xml:space="preserve"> </ns0:t>
            </ns0:r>
            <ns0:hyperlink ns2:id="rId16">
              <ns0:r>
                <ns0:rPr>
                  <ns0:color ns0:val="0563C1"/>
                  <ns0:u ns0:val="single"/>
                </ns0:rPr>
                <ns0:t>1985 JSON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Article: “only available paper.” Model: the user chose 2013 because it is newer; 1985 is also good for comparison. Recency does not demonstrate numerical superiority or whole-LME suitability.</ns0:t>
            </ns0:r>
            <ns0:r>
              <ns0:t xml:space="preserve"> </ns0:t>
            </ns0:r>
            <ns0:hyperlink ns2:id="rId17">
              <ns0:r>
                <ns0:rPr>
                  <ns0:color ns0:val="0563C1"/>
                  <ns0:u ns0:val="single"/>
                </ns0:rPr>
                <ns0:t>Recorded rationale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All 240 final Table 1 source cells match accepted 2013 values. One Table 2 diet matrix is captioned both years despite year-specific sardine/anchovy prose. Nine nonunit diet columns, accepted normalization, GS 0.2, solved accumulation, missing/default catch/migration and single-detritus routing remain documented. Supplementary depth-bin areas total 1,223 km² versus main 2,230 km²; no scientific repair, rescaling or new normalization.</ns0:t>
            </ns0:r>
            <ns0:r>
              <ns0:t xml:space="preserve"> </ns0:t>
            </ns0:r>
            <ns0:hyperlink ns2:id="rId18">
              <ns0:r>
                <ns0:rPr>
                  <ns0:color ns0:val="0563C1"/>
                  <ns0:u ns0:val="single"/>
                </ns0:rPr>
                <ns0:t>Source review</ns0:t>
              </ns0:r>
            </ns0:hyperlink>
            <ns0:r>
              <ns0:t xml:space="preserve"> | </ns0:t>
            </ns0:r>
            <ns0:hyperlink ns2:id="rId19">
              <ns0:r>
                <ns0:rPr>
                  <ns0:color ns0:val="0563C1"/>
                  <ns0:u ns0:val="single"/>
                </ns0:rPr>
                <ns0:t>Source cells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[MANUAL — Researcher: calculation choices and reasons]</ns0:t>
            </ns0:r>
          </ns0:p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[Excluded groups, scope and relevant values; other adjustments]</ns0:t>
            </ns0:r>
          </ns0:p>
        </ns0:tc>
      </ns0:tr>
    </ns0:tbl>
    <ns0:p>
      <ns0:pPr>
        <ns0:spacing ns0:after="40" ns0:before="0" ns0:line="240" ns0:lineRule="auto"/>
        <ns0:pageBreakBefore/>
      </ns0:pPr>
      <ns0:r>
        <ns0:rPr>
          <ns0:rFonts ns0:ascii="Calibri" ns0:hAnsi="Calibri"/>
          <ns0:sz ns0:val="2"/>
          <ns0:color ns0:val="000000"/>
        </ns0:rPr>
        <ns0:t xml:space="preserve"/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SPPR entries in import (41), Detritus (40) or Phytoplankton (39) columns across all 41 groups, including unfished groups. rho_living=0.10604454; b=0.03129443; Detritus (40) SPPR=1.36109201.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SPPR entries in import (41), Detritus (40) or Phytoplankton (39) columns across all 41 groups, including unfished groups. rho_living=0.24614202; Detritus (40) SPPR=0.67578005.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Approximate A: 0.15–0.23% of the target region. B: 95–100% of the study area inside the target. Indicative ranges; graphical trace differs from the reported area.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Static 2013 coefficients and source catch/biomass splits are transferred across 1950–2019. The model postdates the 1980s regime shift; fixed Kyoto guild composition does not describe observed whole-LME change across years, fleets or catch bases.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Historical GE, TE and With Egestion diagnoses remain WARN; strict balance passes. Tongue sole (30) EE is 0. Every source-recipient entry is finite and nonnegative. Exact old/current loader parity supports reuse; no fresh solve was performed. Production eligibility remains false.</ns0:t>
            </ns0:r>
            <ns0:r>
              <ns0:t xml:space="preserve"> </ns0:t>
            </ns0:r>
            <ns0:hyperlink ns2:id="rId20">
              <ns0:r>
                <ns0:rPr>
                  <ns0:color ns0:val="0563C1"/>
                  <ns0:u ns0:val="single"/>
                </ns0:rPr>
                <ns0:t>Full matrices</ns0:t>
              </ns0:r>
            </ns0:hyperlink>
            <ns0:r>
              <ns0:t xml:space="preserve"> | </ns0:t>
            </ns0:r>
            <ns0:hyperlink ns2:id="rId21">
              <ns0:r>
                <ns0:rPr>
                  <ns0:color ns0:val="0563C1"/>
                  <ns0:u ns0:val="single"/>
                </ns0:rPr>
                <ns0:t>Loader parity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[Researcher: open issues and next actions]</ns0:t>
              <ns0:br/>
              <ns0:t/>
              <ns0:br/>
              <ns0:t/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Researcher name: [name] | review date: [date]</ns0:t>
              <ns0:br/>
              <ns0:t/>
              <ns0:br/>
              <ns0:t/>
              <ns0:br/>
              <ns0:t/>
            </ns0:r>
          </ns0:p>
        </ns0:tc>
      </ns0:tr>
    </ns0:tbl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30"/>
        </ns0:rPr>
        <ns0:t>Taxon mapping and coverage</ns0:t>
      </ns0:r>
    </ns0:p>
    <ns0:p>
      <ns0:pPr>
        <ns0:keepNext ns0:val="0"/>
        <ns0:pageBreakBefore ns0:val="0"/>
        <ns0:spacing ns0:after="120"/>
      </ns0:pPr>
      <ns0:r>
        <ns0:t>Reference: 2019 landings; all exact catch labels, including unidentified and zero-catch records; no taxon or group filter.</ns0:t>
      </ns0:r>
    </ns0:p>
    <ns0:p>
      <ns0:pPr>
        <ns0:keepNext ns0:val="0"/>
        <ns0:pageBreakBefore ns0:val="0"/>
        <ns0:spacing ns0:after="120"/>
      </ns0:pPr>
      <ns0:r>
        <ns0:t>40 ecological source groups (+1 computational import); 253 catch labels.</ns0:t>
      </ns0:r>
    </ns0:p>
    <ns0:p>
      <ns0:pPr>
        <ns0:keepNext ns0:val="0"/>
        <ns0:pageBreakBefore ns0:val="0"/>
        <ns0:spacing ns0:after="120"/>
      </ns0:pPr>
      <ns0:r>
        <ns0:t>Simple-chain PPR totals 145,016,301.85 t C in 2019.</ns0:t>
      </ns0:r>
    </ns0:p>
    <ns0:p>
      <ns0:pPr>
        <ns0:keepNext ns0:val="0"/>
        <ns0:pageBreakBefore ns0:val="0"/>
        <ns0:spacing ns0:after="120"/>
      </ns0:pPr>
      <ns0:r>
        <ns0:t>35 labels lack a saved classic coefficient/TL; all have zero 2019 landings and zero annual PPR. Unavailable TL remains ?, not zero.</ns0:t>
      </ns0:r>
    </ns0:p>
    <ns0:p>
      <ns0:pPr>
        <ns0:keepNext ns0:val="0"/>
        <ns0:pageBreakBefore ns0:val="0"/>
        <ns0:spacing ns0:after="120"/>
      </ns0:pPr>
      <ns0:r>
        <ns0:t>Method: independent classic/simple trophic chain using the saved taxon coefficient and a single carbon conversion.</ns0:t>
      </ns0:r>
    </ns0:p>
    <ns0:p>
      <ns0:pPr>
        <ns0:keepNext ns0:val="0"/>
        <ns0:pageBreakBefore ns0:val="0"/>
        <ns0:spacing ns0:after="120"/>
      </ns0:pPr>
      <ns0:hyperlink ns2:id="rId22">
        <ns0:r>
          <ns0:rPr>
            <ns0:color ns0:val="0563C1"/>
            <ns0:u ns0:val="single"/>
          </ns0:rPr>
          <ns0:t>Full taxon mapping appendix</ns0:t>
        </ns0:r>
      </ns0:hyperlink>
      <ns0:r>
        <ns0:t xml:space="preserve"> and </ns0:t>
      </ns0:r>
      <ns0:hyperlink ns2:id="rId23">
        <ns0:r>
          <ns0:rPr>
            <ns0:color ns0:val="0563C1"/>
            <ns0:u ns0:val="single"/>
          </ns0:rPr>
          <ns0:t>descriptive Sources sheet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tblHeader/>
          <ns0:cantSplit/>
          <ns0:tblHeader/>
          <ns0:cantSplit/>
        </ns0:trPr>
        <ns0:tc>
          <ns0:tcPr>
            <ns0:tcW ns0:type="dxa" ns0:w="3888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Overall confidence</ns0:t>
            </ns0:r>
          </ns0:p>
        </ns0:tc>
        <ns0:tc>
          <ns0:tcPr>
            <ns0:tcW ns0:type="dxa" ns0:w="1440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Taxa</ns0:t>
            </ns0:r>
          </ns0:p>
        </ns0:tc>
        <ns0:tc>
          <ns0:tcPr>
            <ns0:tcW ns0:type="dxa" ns0:w="230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Catch percentage</ns0:t>
            </ns0:r>
          </ns0:p>
        </ns0:tc>
        <ns0:tc>
          <ns0:tcPr>
            <ns0:tcW ns0:type="dxa" ns0:w="2376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High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20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28.4481%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20.1996%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Medium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89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18.5567%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18.5625%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Low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0.0124%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0.0178%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Very low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143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52.9828%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61.2201%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Unresolved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The summary uses the weaker required membership or allocation confidence. The following tables show each component separately.</ns0:t>
      </ns0:r>
    </ns0:p>
    <ns0:p>
      <ns0:pPr>
        <ns0:keepNext/>
        <ns0:pageBreakBefore ns0:val="0"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Group assignment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Closest represented taxonomic or ecological analogue for an absent compartment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56.7420%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Taxon explicitly named in the selected source group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19.0223%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Related unlisted taxon extends a representative source pool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10.3494%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Represented candidate set established with a stated regional extension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8.2132%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Broad reporting category approximated by its supported source pools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4.4780%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Authoritative synonym connects the source name to the catch label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1.1773%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Partial/conflicting source identity or historical reporting scope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0.0178%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Membership evidence: </ns0:t>
      </ns0:r>
      <ns0:hyperlink ns2:id="rId13">
        <ns0:r>
          <ns0:rPr>
            <ns0:color ns0:val="0563C1"/>
            <ns0:u ns0:val="single"/>
          </ns0:rPr>
          <ns0:t>Table S3 and source methods</ns0:t>
        </ns0:r>
      </ns0:hyperlink>
      <ns0:r>
        <ns0:t xml:space="preserve"> | </ns0:t>
      </ns0:r>
      <ns0:hyperlink ns2:id="rId24">
        <ns0:r>
          <ns0:rPr>
            <ns0:color ns0:val="0563C1"/>
            <ns0:u ns0:val="single"/>
          </ns0:rPr>
          <ns0:t>all taxon decisions</ns0:t>
        </ns0:r>
      </ns0:hyperlink>
      <ns0:r>
        <ns0:t>. Representative lists are not exhaustive. Residual bony fish exclude Stingray; source pelagic fish include Red seabream and Seabass. Name joins resolve the S3 Sole/Dragonet row reversal.</ns0:t>
      </ns0:r>
    </ns0:p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Allocation weight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One candidate receives the entire taxon catch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72.3367%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Complete source-model catch proportions assumed for regional catch composition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23.1821%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Complete source-model biomass proportions assumed after source catch is incomplete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4.4812%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Overall confidence is the weaker membership/allocation component. Complete 2013 S4 detailed fleet catches supply Medium split proxies; incomplete catch sets use complete final Table 1 biomass with common catchability assumed. Missing source rows and loaded zeros are distinct. Both proxy types transfer local historical composition across regional years, fleets and bases; taxon-specific observed shares were unavailable. </ns0:t>
      </ns0:r>
      <ns0:hyperlink ns2:id="rId25">
        <ns0:r>
          <ns0:rPr>
            <ns0:color ns0:val="0563C1"/>
            <ns0:u ns0:val="single"/>
          </ns0:rPr>
          <ns0:t>Allocation evidence</ns0:t>
        </ns0:r>
      </ns0:hyperlink>
    </ns0:p>
    <ns0:p>
      <ns0:pPr>
        <ns0:keepNext ns0:val="0"/>
        <ns0:pageBreakBefore ns0:val="0"/>
        <ns0:spacing ns0:after="120"/>
      </ns0:pPr>
      <ns0:r>
        <ns0:t xml:space="preserve">No unresolved labels remain. Very low: 143 labels, 52.9828% of landings and 61.2201% of classic PPR. Absent northern/deep fish, salmon, sharks, broad residuals and jellyfish retain explicit analogue limits. This cohort contributes 66.52% of GE, 76.86% of TE and 64.39% of With Egestion PPR under the same controls; assignment completeness does not establish scientific suitability. </ns0:t>
      </ns0:r>
      <ns0:hyperlink ns2:id="rId26">
        <ns0:r>
          <ns0:rPr>
            <ns0:color ns0:val="0563C1"/>
            <ns0:u ns0:val="single"/>
          </ns0:rPr>
          <ns0:t>Method-specific contributions</ns0:t>
        </ns0:r>
      </ns0:hyperlink>
    </ns0:p>
    <ns0:p>
      <ns0:pPr>
        <ns0:pStyle ns0:val="Title"/>
        <ns0:pageBreakBefore/>
        <ns0:keepNext/>
        <ns0:pageBreakBefore/>
      </ns0:pPr>
      <ns0:r>
        <ns0:t>Geographic evidence screenshots</ns0:t>
      </ns0:r>
    </ns0:p>
    <ns0:p>
      <ns0:pPr>
        <ns0:spacing ns0:after="40" ns0:before="0" ns0:line="240" ns0:lineRule="auto"/>
      </ns0:pPr>
      <ns0:r>
        <ns0:t>R is the Sea Around Us Sea of Japan / East Sea LME target. S follows the dashed model boundary in source Figure 1, from the coastline to 240 m. Native longitude/latitude ticks calibrate the curved offshore edge and source coastline/islands; 12 water/land controls pass. The historical broad rectangle is rejected. The trace remains approximate and does not establish exact bathymetry.</ns0:t>
      </ns0:r>
    </ns0:p>
    <ns0:p>
      <ns0:pPr>
        <ns0:pStyle ns0:val="Heading2"/>
        <ns0:keepNext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Sea of Japan / East Sea target region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/>
            <ns0:r>
              <ns0:drawing>
                <ns3:inline>
                  <ns3:extent cx="3886200" cy="4484077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arget_region.png"/>
                          <ns5:cNvPicPr/>
                        </ns5:nvPicPr>
                        <ns5:blipFill>
                          <ns4:blip ns2:embed="rId27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3886200" cy="4484077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Sea Around Us LME 50 target R: approximately 988,290 km². Orange marks the small coastal Kyoto model location. </ns0:t>
      </ns0:r>
      <ns0:r>
        <ns0:t xml:space="preserve"> </ns0:t>
      </ns0:r>
      <ns0:hyperlink ns2:id="rId29">
        <ns0:r>
          <ns0:rPr>
            <ns0:color ns0:val="0563C1"/>
            <ns0:u ns0:val="single"/>
          </ns0:rPr>
          <ns0:t>Target boundary</ns0:t>
        </ns0:r>
      </ns0:hyperlink>
      <ns0:r>
        <ns0:t xml:space="preserve"> | </ns0:t>
      </ns0:r>
      <ns0:hyperlink ns2:id="rId30">
        <ns0:r>
          <ns0:rPr>
            <ns0:color ns0:val="0563C1"/>
            <ns0:u ns0:val="single"/>
          </ns0:rPr>
          <ns0:t>Map image</ns0:t>
        </ns0:r>
      </ns0:hyperlink>
    </ns0:p>
    <ns0:p>
      <ns0:pPr>
        <ns0:pStyle ns0:val="Heading2"/>
        <ns0:keepNext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Original coastal Kyoto model area — Figure 1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/>
            <ns0:r>
              <ns0:drawing>
                <ns3:inline>
                  <ns3:extent cx="5303520" cy="3263433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original_figure1.png"/>
                          <ns5:cNvPicPr/>
                        </ns5:nvPicPr>
                        <ns5:blipFill>
                          <ns4:blip ns2:embed="rId28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303520" cy="3263433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Inoue et al. 2023 Figure 1, PDF 2 / printed p.574; methods PDF 4 / p.576: model domain is coastline to 240 m, reported 2,230 km². The dashed border is the model area; white circles are sampling stations. Figure reproduced without geographic alteration; article CC BY 4.0. </ns0:t>
      </ns0:r>
      <ns0:r>
        <ns0:t xml:space="preserve"> </ns0:t>
      </ns0:r>
      <ns0:hyperlink ns2:id="rId31">
        <ns0:r>
          <ns0:rPr>
            <ns0:color ns0:val="0563C1"/>
            <ns0:u ns0:val="single"/>
          </ns0:rPr>
          <ns0:t>Original figure</ns0:t>
        </ns0:r>
      </ns0:hyperlink>
      <ns0:r>
        <ns0:t xml:space="preserve"> | </ns0:t>
      </ns0:r>
      <ns0:hyperlink ns2:id="rId32">
        <ns0:r>
          <ns0:rPr>
            <ns0:color ns0:val="0563C1"/>
            <ns0:u ns0:val="single"/>
          </ns0:rPr>
          <ns0:t>Methods</ns0:t>
        </ns0:r>
      </ns0:hyperlink>
      <ns0:r>
        <ns0:t xml:space="preserve"> | </ns0:t>
      </ns0:r>
      <ns0:hyperlink ns2:id="rId33">
        <ns0:r>
          <ns0:rPr>
            <ns0:color ns0:val="0563C1"/>
            <ns0:u ns0:val="single"/>
          </ns0:rPr>
          <ns0:t>CC BY 4.0</ns0:t>
        </ns0:r>
      </ns0:hyperlink>
    </ns0:p>
    <ns0:p>
      <ns0:pPr>
        <ns0:pageBreakBefore/>
        <ns0:spacing ns0:after="40" ns0:before="0" ns0:line="240" ns0:lineRule="auto"/>
      </ns0:pPr>
      <ns0:r>
        <ns0:t xml:space="preserve">Approximate trace S is 1,681 km² and intersection 1,654 km²: central graphical A≈0.17%, B≈98%. The trace is 24.62% below the reported 2,230 km², an unresolved discrepancy larger than graphical sensitivity. Indicative Low ranges A≈0.15–0.23%, B≈95–100% retain both uncertainties; they are not statistical intervals. Supplementary S1 depth-bin areas total 1,223 km² without reconciliation to 2,230 km²; this is a separate benthic biomass-denominator limit, not a replacement polygon. Orange is the source trace; blue is the target coastline. Coverage is not a catch/PPR multiplier. </ns0:t>
      </ns0:r>
      <ns0:hyperlink ns2:id="rId34">
        <ns0:r>
          <ns0:rPr>
            <ns0:color ns0:val="0563C1"/>
            <ns0:u ns0:val="single"/>
          </ns0:rPr>
          <ns0:t>Geographic assessment</ns0:t>
        </ns0:r>
      </ns0:hyperlink>
      <ns0:r>
        <ns0:t xml:space="preserve"> | </ns0:t>
      </ns0:r>
      <ns0:hyperlink ns2:id="rId35">
        <ns0:r>
          <ns0:rPr>
            <ns0:color ns0:val="0563C1"/>
            <ns0:u ns0:val="single"/>
          </ns0:rPr>
          <ns0:t>Native trace controls</ns0:t>
        </ns0:r>
      </ns0:hyperlink>
      <ns0:r>
        <ns0:br/>
      </ns0:r>
      <ns0:r>
        <ns0:drawing>
          <ns3:inline>
            <ns3:extent cx="5120640" cy="4096512"/>
            <ns3:docPr id="3" name="Picture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comparison.png"/>
                    <ns5:cNvPicPr/>
                  </ns5:nvPicPr>
                  <ns5:blipFill>
                    <ns4:blip ns2:embed="rId3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120640" cy="4096512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sectPr ns0:rsidR="00FC693F" ns0:rsidRPr="0006063C" ns0:rsidSect="00034616">
      <ns0:type ns0:val="nextPage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Validation1" Type="http://schemas.openxmlformats.org/officeDocument/2006/relationships/hyperlink" Target="[Excel_appendix.xlsx]" TargetMode="External" /><ns0:Relationship Id="rId9" Type="http://schemas.openxmlformats.org/officeDocument/2006/relationships/hyperlink" Target="../../../../../LME_050.xlsx" TargetMode="External" /><ns0:Relationship Id="rId10" Type="http://schemas.openxmlformats.org/officeDocument/2006/relationships/hyperlink" Target="../../../../../raw/catch/LME_050-catch.zip" TargetMode="External" /><ns0:Relationship Id="rId11" Type="http://schemas.openxmlformats.org/officeDocument/2006/relationships/hyperlink" Target="../../../../../raw/catch/LME_050-exploited.json" TargetMode="External" /><ns0:Relationship Id="rId12" Type="http://schemas.openxmlformats.org/officeDocument/2006/relationships/hyperlink" Target="../../../sources/Inoue_et_al_2023_Sea_of_Japan-eaca3b45.pdf" TargetMode="External" /><ns0:Relationship Id="rId13" Type="http://schemas.openxmlformats.org/officeDocument/2006/relationships/hyperlink" Target="../../../sources/12562_2023_1691_MOESM1_ESM-8d668bb0.docx" TargetMode="External" /><ns0:Relationship Id="rId14" Type="http://schemas.openxmlformats.org/officeDocument/2006/relationships/hyperlink" Target="https://link.springer.com/article/10.1007/s12562-024-01768-z" TargetMode="External" /><ns0:Relationship Id="rId15" Type="http://schemas.openxmlformats.org/officeDocument/2006/relationships/hyperlink" Target="../model.json" TargetMode="External" /><ns0:Relationship Id="rId16" Type="http://schemas.openxmlformats.org/officeDocument/2006/relationships/hyperlink" Target="../../50_501985_Coastal_Kyoto_Inoue_(1985)/model.json" TargetMode="External" /><ns0:Relationship Id="rId17" Type="http://schemas.openxmlformats.org/officeDocument/2006/relationships/hyperlink" Target="../../../../../LME_050.xlsx#Overview%21A1" TargetMode="External" /><ns0:Relationship Id="rId18" Type="http://schemas.openxmlformats.org/officeDocument/2006/relationships/hyperlink" Target="evidence/source_review/source_review.md" TargetMode="External" /><ns0:Relationship Id="rId19" Type="http://schemas.openxmlformats.org/officeDocument/2006/relationships/hyperlink" Target="evidence/source_review/source_parameter_review.json" TargetMode="External" /><ns0:Relationship Id="rId20" Type="http://schemas.openxmlformats.org/officeDocument/2006/relationships/hyperlink" Target="evidence/source_review/matrix_inspection.json" TargetMode="External" /><ns0:Relationship Id="rId21" Type="http://schemas.openxmlformats.org/officeDocument/2006/relationships/hyperlink" Target="evidence/source_review/loader_version_parity.json" TargetMode="External" /><ns0:Relationship Id="rId22" Type="http://schemas.openxmlformats.org/officeDocument/2006/relationships/hyperlink" Target="taxon_mapping.xlsx" TargetMode="External" /><ns0:Relationship Id="rId23" Type="http://schemas.openxmlformats.org/officeDocument/2006/relationships/hyperlink" Target="taxon_mapping.xlsx#Sources%21A1" TargetMode="External" /><ns0:Relationship Id="rId24" Type="http://schemas.openxmlformats.org/officeDocument/2006/relationships/hyperlink" Target="evidence/source_review/taxon_audit.json" TargetMode="External" /><ns0:Relationship Id="rId25" Type="http://schemas.openxmlformats.org/officeDocument/2006/relationships/hyperlink" Target="evidence/source_review/allocation_provenance.json" TargetMode="External" /><ns0:Relationship Id="rId26" Type="http://schemas.openxmlformats.org/officeDocument/2006/relationships/hyperlink" Target="evidence/source_review/method_contribution_exposure.json" TargetMode="External" /><ns0:Relationship Id="rId27" Type="http://schemas.openxmlformats.org/officeDocument/2006/relationships/image" Target="media/image1.png" /><ns0:Relationship Id="rId28" Type="http://schemas.openxmlformats.org/officeDocument/2006/relationships/image" Target="media/image2.png" /><ns0:Relationship Id="rId29" Type="http://schemas.openxmlformats.org/officeDocument/2006/relationships/hyperlink" Target="evidence/source_review/geography/target_region.geojson" TargetMode="External" /><ns0:Relationship Id="rId30" Type="http://schemas.openxmlformats.org/officeDocument/2006/relationships/hyperlink" Target="evidence/source_review/geography/target_region.png" TargetMode="External" /><ns0:Relationship Id="rId31" Type="http://schemas.openxmlformats.org/officeDocument/2006/relationships/hyperlink" Target="../../../sources/Inoue_et_al_2023_Sea_of_Japan-eaca3b45.pdf#page=2" TargetMode="External" /><ns0:Relationship Id="rId32" Type="http://schemas.openxmlformats.org/officeDocument/2006/relationships/hyperlink" Target="../../../sources/Inoue_et_al_2023_Sea_of_Japan-eaca3b45.pdf#page=4" TargetMode="External" /><ns0:Relationship Id="rId33" Type="http://schemas.openxmlformats.org/officeDocument/2006/relationships/hyperlink" Target="https://creativecommons.org/licenses/by/4.0/" TargetMode="External" /><ns0:Relationship Id="rId34" Type="http://schemas.openxmlformats.org/officeDocument/2006/relationships/hyperlink" Target="evidence/source_review/geography/geographic_assessment.json" TargetMode="External" /><ns0:Relationship Id="rId35" Type="http://schemas.openxmlformats.org/officeDocument/2006/relationships/hyperlink" Target="evidence/source_review/geography/native_trace_overlay.png" TargetMode="External" /><ns0:Relationship Id="rId36" Type="http://schemas.openxmlformats.org/officeDocument/2006/relationships/image" Target="media/image3.png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