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officeDocument/2006/relationships" xmlns:ns3="http://schemas.openxmlformats.org/drawingml/2006/wordprocessingDrawing" xmlns:ns4="http://schemas.openxmlformats.org/drawingml/2006/main" xmlns:ns5="http://schemas.openxmlformats.org/drawingml/2006/picture" xmlns:w14="http://schemas.microsoft.com/office/word/2010/wordml" xmlns:wp14="http://schemas.microsoft.com/office/word/2010/wordprocessingDrawing" ns1:Ignorable="w14 wp14">
  <ns0:body>
    <ns0:p>
      <ns0:pPr>
        <ns0:pStyle ns0:val="Title"/>
      </ns0:pPr>
      <ns0:r>
        <ns0:t>Northern Humboldt model validation</ns0:t>
      </ns0:r>
    </ns0:p>
    <ns0:tbl>
      <ns0:tblPr>
        <ns0:tblW ns0:type="auto" ns0:w="0"/>
        <ns0:jc ns0:val="center"/>
        <ns0:tblLayout ns0:type="fixed"/>
        <ns0:tblLook ns0:firstColumn="1" ns0:firstRow="1" ns0:lastColumn="0" ns0:lastRow="0" ns0:noHBand="0" ns0:noVBand="1" ns0:val="04A0"/>
      </ns0:tblPr>
      <ns0:tblGrid>
        <ns0:gridCol ns0:w="2203"/>
        <ns0:gridCol ns0:w="7834"/>
      </ns0:tblGrid>
      <ns0:tr>
        <ns0:trPr>
          <ns0:cantSplit/>
          <ns0:tblHeader/>
          <ns0:tblHeader/>
        </ns0:trPr>
        <ns0:tc>
          <ns0:tcPr>
            <ns0:tcW ns0:type="dxa" ns0:w="2203"/>
            <ns0:vAlign ns0:val="center"/>
            <ns0:shd ns0:fill="E5ECF0"/>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keepNext/>
              <ns0:spacing ns0:after="40"/>
            </ns0:pPr>
            <ns0:r>
              <ns0:rPr>
                <ns0:rFonts ns0:ascii="Calibri" ns0:hAnsi="Calibri"/>
                <ns0:b/>
                <ns0:sz ns0:val="21"/>
              </ns0:rPr>
              <ns0:t>Field</ns0:t>
            </ns0:r>
          </ns0:p>
        </ns0:tc>
        <ns0:tc>
          <ns0:tcPr>
            <ns0:tcW ns0:type="dxa" ns0:w="7834"/>
            <ns0:vAlign ns0:val="center"/>
            <ns0:shd ns0:fill="E5ECF0"/>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keepNext/>
              <ns0:spacing ns0:after="40"/>
            </ns0:pPr>
            <ns0:r>
              <ns0:rPr>
                <ns0:rFonts ns0:ascii="Calibri" ns0:hAnsi="Calibri"/>
                <ns0:b/>
                <ns0:sz ns0:val="21"/>
              </ns0:rPr>
              <ns0:t>Entry</ns0:t>
            </ns0:r>
          </ns0:p>
        </ns0:tc>
      </ns0:tr>
      <ns0:tr>
        <ns0:trPr>
          <ns0:cantSplit/>
        </ns0:trPr>
        <ns0:tc>
          <ns0:tcPr>
            <ns0:tcW ns0:type="dxa" ns0:w="2203"/>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b/>
                <ns0:sz ns0:val="21"/>
              </ns0:rPr>
              <ns0:t>Region</ns0:t>
            </ns0:r>
          </ns0:p>
        </ns0:tc>
        <ns0:tc>
          <ns0:tcPr>
            <ns0:tcW ns0:type="dxa" ns0:w="7834"/>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Humboldt Current, LME_013. Selected-model evaluation of the northern Peruvian food web.</ns0:t>
            </ns0:r>
          </ns0:p>
          <ns0:p>
            <ns0:hyperlink ns2:id="rId9">
              <ns0:r>
                <ns0:rPr>
                  <ns0:color ns0:val="0563C1"/>
                  <ns0:u ns0:val="single"/>
                </ns0:rPr>
                <ns0:t xml:space="preserve">Regional workbook</ns0:t>
              </ns0:r>
            </ns0:hyperlink>
          </ns0:p>
        </ns0:tc>
      </ns0:tr>
      <ns0:tr>
        <ns0:trPr>
          <ns0:cantSplit/>
        </ns0:trPr>
        <ns0:tc>
          <ns0:tcPr>
            <ns0:tcW ns0:type="dxa" ns0:w="2203"/>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b/>
                <ns0:sz ns0:val="21"/>
              </ns0:rPr>
              <ns0:t>Catch source</ns0:t>
            </ns0:r>
          </ns0:p>
        </ns0:tc>
        <ns0:tc>
          <ns0:tcPr>
            <ns0:tcW ns0:type="dxa" ns0:w="7834"/>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Sea Around Us, 1950–2019; confidence reference: 2019 landings. All 218 exact labels, including zero catch and unidentified categories.</ns0:t>
            </ns0:r>
          </ns0:p>
          <ns0:p>
            <ns0:hyperlink ns2:id="rId9">
              <ns0:r>
                <ns0:rPr>
                  <ns0:color ns0:val="0563C1"/>
                  <ns0:u ns0:val="single"/>
                </ns0:rPr>
                <ns0:t xml:space="preserve">Catch and classic inputs</ns0:t>
              </ns0:r>
            </ns0:hyperlink>
            <ns0:r>
              <ns0:t xml:space="preserve"> | </ns0:t>
            </ns0:r>
            <ns0:hyperlink ns2:id="rId10">
              <ns0:r>
                <ns0:rPr>
                  <ns0:color ns0:val="0563C1"/>
                  <ns0:u ns0:val="single"/>
                </ns0:rPr>
                <ns0:t xml:space="preserve">Reference arithmetic</ns0:t>
              </ns0:r>
            </ns0:hyperlink>
          </ns0:p>
        </ns0:tc>
      </ns0:tr>
      <ns0:tr>
        <ns0:trPr>
          <ns0:cantSplit/>
        </ns0:trPr>
        <ns0:tc>
          <ns0:tcPr>
            <ns0:tcW ns0:type="dxa" ns0:w="2203"/>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Selected article</ns0:t>
            </ns0:r>
          </ns0:p>
        </ns0:tc>
        <ns0:tc>
          <ns0:tcPr>
            <ns0:tcW ns0:type="dxa" ns0:w="7834"/>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Chiaverano et al. (2018). Evaluating the role of large jellyfish and forage fishes as energy pathways, and their interplay with fisheries, in the Northern Humboldt Current System. Progress in Oceanography 164, 28–36. DOI 10.1016/j.pocean.2018.04.009.</ns0:t>
            </ns0:r>
          </ns0:p>
          <ns0:p>
            <ns0:hyperlink ns2:id="rId11">
              <ns0:r>
                <ns0:rPr>
                  <ns0:color ns0:val="0563C1"/>
                  <ns0:u ns0:val="single"/>
                </ns0:rPr>
                <ns0:t xml:space="preserve">Source PDF</ns0:t>
              </ns0:r>
            </ns0:hyperlink>
            <ns0:r>
              <ns0:t xml:space="preserve"> | </ns0:t>
            </ns0:r>
            <ns0:hyperlink ns2:id="rId12">
              <ns0:r>
                <ns0:rPr>
                  <ns0:color ns0:val="0563C1"/>
                  <ns0:u ns0:val="single"/>
                </ns0:rPr>
                <ns0:t xml:space="preserve">DOI</ns0:t>
              </ns0:r>
            </ns0:hyperlink>
          </ns0:p>
        </ns0:tc>
      </ns0:tr>
      <ns0:tr>
        <ns0:trPr>
          <ns0:cantSplit/>
        </ns0:trPr>
        <ns0:tc>
          <ns0:tcPr>
            <ns0:tcW ns0:type="dxa" ns0:w="2203"/>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b/>
                <ns0:sz ns0:val="21"/>
              </ns0:rPr>
              <ns0:t>Other known articles</ns0:t>
            </ns0:r>
          </ns0:p>
        </ns0:tc>
        <ns0:tc>
          <ns0:tcPr>
            <ns0:tcW ns0:type="dxa" ns0:w="7834"/>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Neira et al. (2026), Chilean Patagonia 1980–2020 food-web modelling, DOI 10.1016/j.pocean.2025.103631. Its static 1980 model is retained as previous-selection evidence. Tam et al. (2008), Northern Humboldt trophic linkages under La Niña and El Niño, is a predecessor; its stocks cannot replace this model without a verified crosswalk.</ns0:t>
            </ns0:r>
          </ns0:p>
          <ns0:p>
            <ns0:hyperlink ns2:id="rId13">
              <ns0:r>
                <ns0:rPr>
                  <ns0:color ns0:val="0563C1"/>
                  <ns0:u ns0:val="single"/>
                </ns0:rPr>
                <ns0:t xml:space="preserve">Selected-model review</ns0:t>
              </ns0:r>
            </ns0:hyperlink>
          </ns0:p>
        </ns0:tc>
      </ns0:tr>
      <ns0:tr>
        <ns0:trPr>
          <ns0:cantSplit/>
        </ns0:trPr>
        <ns0:tc>
          <ns0:tcPr>
            <ns0:tcW ns0:type="dxa" ns0:w="2203"/>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Selected model</ns0:t>
            </ns0:r>
          </ns0:p>
        </ns0:tc>
        <ns0:tc>
          <ns0:tcPr>
            <ns0:tcW ns0:type="dxa" ns0:w="7834"/>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Chiaverano2018_detailed_Northern_Humboldt_1995_1998; selected audited detailed Northern Humboldt baseline, 1995–1998. 39 ecological stocks plus two source fleet nodes, over 165,000 km² at 4°S–16°S and up to 111 km offshore. The paper counts 36 living groups and three detritus pools. Anchovy eggs (36) are a nonfeeding pool in the supplement, giving four operational detritus pools in this translation. The runtime adds one synthetic diet_import source.</ns0:t>
            </ns0:r>
          </ns0:p>
          <ns0:p>
            <ns0:hyperlink ns2:id="rId14">
              <ns0:r>
                <ns0:rPr>
                  <ns0:color ns0:val="0563C1"/>
                  <ns0:u ns0:val="single"/>
                </ns0:rPr>
                <ns0:t xml:space="preserve">Canonical source JSON</ns0:t>
              </ns0:r>
            </ns0:hyperlink>
            <ns0:r>
              <ns0:t xml:space="preserve"> | </ns0:t>
            </ns0:r>
            <ns0:hyperlink ns2:id="rId15">
              <ns0:r>
                <ns0:rPr>
                  <ns0:color ns0:val="0563C1"/>
                  <ns0:u ns0:val="single"/>
                </ns0:rPr>
                <ns0:t xml:space="preserve">Computational input</ns0:t>
              </ns0:r>
            </ns0:hyperlink>
          </ns0:p>
        </ns0:tc>
      </ns0:tr>
      <ns0:tr>
        <ns0:trPr>
          <ns0:cantSplit/>
        </ns0:trPr>
        <ns0:tc>
          <ns0:tcPr>
            <ns0:tcW ns0:type="dxa" ns0:w="2203"/>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b/>
                <ns0:sz ns0:val="21"/>
              </ns0:rPr>
              <ns0:t>Other models from the same article</ns0:t>
            </ns0:r>
          </ns0:p>
        </ns0:tc>
        <ns0:tc>
          <ns0:tcPr>
            <ns0:tcW ns0:type="dxa" ns0:w="7834"/>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The aggregated baseline has 24 ecological groups plus one pooled fishery node (25 source nodes), over the same area and period. It merges source groups and uses rounded printed values. Full detailed detritus/fleet routing is retained only in the resolved version. The four structural scenarios alter jellyfish consumption, forage-fish consumption or fishing rates; they are separate scenarios, not replacement static baselines.</ns0:t>
            </ns0:r>
          </ns0:p>
        </ns0:tc>
      </ns0:tr>
      <ns0:tr>
        <ns0:trPr>
          <ns0:cantSplit/>
        </ns0:trPr>
        <ns0:tc>
          <ns0:tcPr>
            <ns0:tcW ns0:type="dxa" ns0:w="2203"/>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b/>
                <ns0:sz ns0:val="21"/>
              </ns0:rPr>
              <ns0:t>Selection rationale</ns0:t>
            </ns0:r>
          </ns0:p>
        </ns0:tc>
        <ns0:tc>
          <ns0:tcPr>
            <ns0:tcW ns0:type="dxa" ns0:w="7834"/>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Article - Requested source review to test the local source evidence and its applicability to Northern Humboldt catches.</ns0:t>
              <ns0:br/>
              <ns0:t>Model - Prioritize the resolved supplement because its distinct taxa, hake stages, two fleets and detailed diets/routing permit a more faithful audit than the aggregated alternative. The user selected this audited model after auto returned finite, nonnegative SPPR in all three methods. Selection does not establish scientific validity or researcher validation.</ns0:t>
            </ns0:r>
          </ns0:p>
        </ns0:tc>
      </ns0:tr>
      <ns0:tr>
        <ns0:trPr>
          <ns0:cantSplit/>
        </ns0:trPr>
        <ns0:tc>
          <ns0:tcPr>
            <ns0:tcW ns0:type="dxa" ns0:w="2203"/>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b/>
                <ns0:sz ns0:val="21"/>
              </ns0:rPr>
              <ns0:t>Model extraction</ns0:t>
            </ns0:r>
          </ns0:p>
        </ns0:tc>
        <ns0:tc>
          <ns0:tcPr>
            <ns0:tcW ns0:type="dxa" ns0:w="7834"/>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The PDF, XLS supplement and Word figures/tables are present and verified; historical unavailable-file metadata is obsolete. Printed Chrysaora plocamia (7) diet sums to 1.045 and is preserved in canonical JSON and imports; runtime normalization is separate. Gelatinous zooplankton (6) source biomass and P/B imply production 0.00530 t/km²/year, far below its predation demand. Sardine landings are 5.6513425 in the supplement but 1.4 in the paper’s stated balanced baseline. Neither conflict has a supported numerical repair. GS is derived from source assimilation efficiency; explicit living BA=0 follows the stated steady state. Runtime detritus EE is forced to one and pool BA is derived. Internal fishery discards are retained in source evidence but their returned-flow ancestry is unsupported in the SPPR translation. The runtime loader also replaces eight native detritus-fate cells with pool self-identity; the exact changes remain explicit.</ns0:t>
            </ns0:r>
          </ns0:p>
          <ns0:p>
            <ns0:hyperlink ns2:id="rId16">
              <ns0:r>
                <ns0:rPr>
                  <ns0:color ns0:val="0563C1"/>
                  <ns0:u ns0:val="single"/>
                </ns0:rPr>
                <ns0:t xml:space="preserve">Fresh reconstruction audit</ns0:t>
              </ns0:r>
            </ns0:hyperlink>
            <ns0:r>
              <ns0:t xml:space="preserve"> | </ns0:t>
            </ns0:r>
            <ns0:hyperlink ns2:id="rId17">
              <ns0:r>
                <ns0:rPr>
                  <ns0:color ns0:val="0563C1"/>
                  <ns0:u ns0:val="single"/>
                </ns0:rPr>
                <ns0:t xml:space="preserve">Source conflicts</ns0:t>
              </ns0:r>
            </ns0:hyperlink>
            <ns0:r>
              <ns0:t xml:space="preserve"> | </ns0:t>
            </ns0:r>
            <ns0:hyperlink ns2:id="rId18">
              <ns0:r>
                <ns0:rPr>
                  <ns0:color ns0:val="0563C1"/>
                  <ns0:u ns0:val="single"/>
                </ns0:rPr>
                <ns0:t xml:space="preserve">Loader matrix changes</ns0:t>
              </ns0:r>
            </ns0:hyperlink>
          </ns0:p>
          <ns0:p>
            <ns0:r>
              <ns0:t>Retained departures and evidence limits: </ns0:t>
            </ns0:r>
            <ns0:hyperlink ns2:id="rIdModelNotes">
              <ns0:r>
                <ns0:rPr>
                  <ns0:color ns0:val="0563C1"/>
                  <ns0:u ns0:val="single"/>
                </ns0:rPr>
                <ns0:t>model notes</ns0:t>
              </ns0:r>
            </ns0:hyperlink>
          </ns0:p>
        </ns0:tc>
      </ns0:tr>
      <ns0:tr>
        <ns0:trPr>
          <ns0:cantSplit/>
        </ns0:trPr>
        <ns0:tc>
          <ns0:tcPr>
            <ns0:tcW ns0:type="dxa" ns0:w="2203"/>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b/>
                <ns0:sz ns0:val="21"/>
              </ns0:rPr>
              <ns0:t>GE diagnostics</ns0:t>
            </ns0:r>
          </ns0:p>
        </ns0:tc>
        <ns0:tc>
          <ns0:tcPr>
            <ns0:tcW ns0:type="dxa" ns0:w="7834"/>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FAIL overall: input FAIL; convergence FAIL; SPPR balance FAIL.</ns0:t>
              <ns0:br/>
              <ns0:t>No negative SPPR entries across any basal-source column or recipient, including unfished groups.</ns0:t>
              <ns0:br/>
              <ns0:t>rho_living = 0.7000</ns0:t>
              <ns0:br/>
              <ns0:t>Unpooled recycling b = 1.5918; it does not converge. Auto pools four detritus columns; pooled b = 0.7659.</ns0:t>
              <ns0:br/>
              <ns0:t>Detritus SPPR: Anchovy eggs (36) = 6.1037; Fishery offal (37) = 6.1037; Pelagic detritus (38) = 6.1037; Benthic detritus (39) = 6.1037.</ns0:t>
              <ns0:br/>
              <ns0:t>Strict model balance and SPPR balance both fail. PP gap 16.4%.</ns0:t>
            </ns0:r>
          </ns0:p>
          <ns0:p>
            <ns0:hyperlink ns2:id="rId19">
              <ns0:r>
                <ns0:rPr>
                  <ns0:color ns0:val="0563C1"/>
                  <ns0:u ns0:val="single"/>
                </ns0:rPr>
                <ns0:t xml:space="preserve">Full GE return</ns0:t>
              </ns0:r>
            </ns0:hyperlink>
            <ns0:r>
              <ns0:t xml:space="preserve"> | </ns0:t>
            </ns0:r>
            <ns0:hyperlink ns2:id="rId20">
              <ns0:r>
                <ns0:rPr>
                  <ns0:color ns0:val="0563C1"/>
                  <ns0:u ns0:val="single"/>
                </ns0:rPr>
                <ns0:t xml:space="preserve">Labeled GE matrix</ns0:t>
              </ns0:r>
            </ns0:hyperlink>
          </ns0:p>
        </ns0:tc>
      </ns0:tr>
      <ns0:tr>
        <ns0:trPr>
          <ns0:cantSplit/>
        </ns0:trPr>
        <ns0:tc>
          <ns0:tcPr>
            <ns0:tcW ns0:type="dxa" ns0:w="2203"/>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b/>
                <ns0:sz ns0:val="21"/>
              </ns0:rPr>
              <ns0:t>TE diagnostics</ns0:t>
            </ns0:r>
          </ns0:p>
        </ns0:tc>
        <ns0:tc>
          <ns0:tcPr>
            <ns0:tcW ns0:type="dxa" ns0:w="7834"/>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FAIL overall: input FAIL; convergence WARN; SPPR balance FAIL.</ns0:t>
              <ns0:br/>
              <ns0:t>No negative SPPR entries across any basal-source column or recipient, including unfished groups.</ns0:t>
              <ns0:br/>
              <ns0:t>rho_living = 0.7316</ns0:t>
              <ns0:br/>
              <ns0:t>Detritus SPPR: Anchovy eggs (36) = 0.0000; Fishery offal (37) = 0.0000; Pelagic detritus (38) = 0.3043; Benthic detritus (39) = 0.0000.</ns0:t>
              <ns0:br/>
              <ns0:t>Strict model balance and SPPR balance both fail. PP gap 9.4%.</ns0:t>
              <ns0:br/>
              <ns0:t>The engine cannot recredit EE=0 losses with four operational detritus pools; auto does not change this TE formulation.</ns0:t>
            </ns0:r>
          </ns0:p>
          <ns0:p>
            <ns0:hyperlink ns2:id="rId21">
              <ns0:r>
                <ns0:rPr>
                  <ns0:color ns0:val="0563C1"/>
                  <ns0:u ns0:val="single"/>
                </ns0:rPr>
                <ns0:t xml:space="preserve">Full TE return</ns0:t>
              </ns0:r>
            </ns0:hyperlink>
            <ns0:r>
              <ns0:t xml:space="preserve"> | </ns0:t>
            </ns0:r>
            <ns0:hyperlink ns2:id="rId22">
              <ns0:r>
                <ns0:rPr>
                  <ns0:color ns0:val="0563C1"/>
                  <ns0:u ns0:val="single"/>
                </ns0:rPr>
                <ns0:t xml:space="preserve">Labeled TE matrix</ns0:t>
              </ns0:r>
            </ns0:hyperlink>
          </ns0:p>
        </ns0:tc>
      </ns0:tr>
      <ns0:tr>
        <ns0:trPr>
          <ns0:cantSplit/>
        </ns0:trPr>
        <ns0:tc>
          <ns0:tcPr>
            <ns0:tcW ns0:type="dxa" ns0:w="2203"/>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b/>
                <ns0:sz ns0:val="21"/>
              </ns0:rPr>
              <ns0:t>SPPR calculation</ns0:t>
            </ns0:r>
          </ns0:p>
        </ns0:tc>
        <ns0:tc>
          <ns0:tcPr>
            <ns0:tcW ns0:type="dxa" ns0:w="7834"/>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[Researcher calculation choices and notes]</ns0:t>
            </ns0:r>
          </ns0:p>
        </ns0:tc>
      </ns0:tr>
      <ns0:tr>
        <ns0:trPr>
          <ns0:cantSplit/>
        </ns0:trPr>
        <ns0:tc>
          <ns0:tcPr>
            <ns0:tcW ns0:type="dxa" ns0:w="2203"/>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b/>
                <ns0:sz ns0:val="21"/>
              </ns0:rPr>
              <ns0:t>Geographic fit</ns0:t>
            </ns0:r>
          </ns0:p>
        </ns0:tc>
        <ns0:tc>
          <ns0:tcPr>
            <ns0:tcW ns0:type="dxa" ns0:w="7834"/>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Approximate A. Region covered by study: 6.0–8.0%.</ns0:t>
              <ns0:br/>
              <ns0:t>Approximate B. Study covered by region: 90–100%. The northern shelf domain leaves most of this LME outside the model.</ns0:t>
            </ns0:r>
          </ns0:p>
          <ns0:p>
            <ns0:hyperlink ns2:id="rId23">
              <ns0:r>
                <ns0:rPr>
                  <ns0:color ns0:val="0563C1"/>
                  <ns0:u ns0:val="single"/>
                </ns0:rPr>
                <ns0:t xml:space="preserve">Boundary assessment</ns0:t>
              </ns0:r>
            </ns0:hyperlink>
          </ns0:p>
        </ns0:tc>
      </ns0:tr>
      <ns0:tr>
        <ns0:trPr>
          <ns0:cantSplit/>
        </ns0:trPr>
        <ns0:tc>
          <ns0:tcPr>
            <ns0:tcW ns0:type="dxa" ns0:w="2203"/>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b/>
                <ns0:sz ns0:val="21"/>
              </ns0:rPr>
              <ns0:t>Temporal fit</ns0:t>
            </ns0:r>
          </ns0:p>
        </ns0:tc>
        <ns0:tc>
          <ns0:tcPr>
            <ns0:tcW ns0:type="dxa" ns0:w="7834"/>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Static 1995–1998 baseline applied to catch years 1950–2019; 2019 is 21–24 years later. Fixed coefficients and source catch/biomass allocations do not represent annual ecosystem or catch-composition changes. Publication year 2018 is separate from model period.</ns0:t>
            </ns0:r>
          </ns0:p>
        </ns0:tc>
      </ns0:tr>
      <ns0:tr>
        <ns0:trPr>
          <ns0:cantSplit/>
        </ns0:trPr>
        <ns0:tc>
          <ns0:tcPr>
            <ns0:tcW ns0:type="dxa" ns0:w="2203"/>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b/>
                <ns0:sz ns0:val="21"/>
              </ns0:rPr>
              <ns0:t>Other</ns0:t>
            </ns0:r>
          </ns0:p>
        </ns0:tc>
        <ns0:tc>
          <ns0:tcPr>
            <ns0:tcW ns0:type="dxa" ns0:w="7834"/>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All direct calls explicitly use det_collapse_mode='auto' with the audited constructor, normalization, EE=0 fix and closed-detritus settings unchanged. With Egestion remains overall FAIL: input FAIL, convergence FAIL, SPPR balance WARN; rho_living = 0.5600; unpooled b = 1.1098; pooled b = 0.8579; pooled detritus SPPR = 11.0035; PP gap 4.9%. All its SPPR entries are nonnegative, including unfished groups. Auto eliminates the previous negative coefficients but does not resolve source production conflicts, native-flow translation limits or strict balance failures. Selected-model regional arithmetic is displayed provisionally with production eligibility false, pending researcher review.</ns0:t>
            </ns0:r>
          </ns0:p>
          <ns0:p>
            <ns0:hyperlink ns2:id="rId24">
              <ns0:r>
                <ns0:rPr>
                  <ns0:color ns0:val="0563C1"/>
                  <ns0:u ns0:val="single"/>
                </ns0:rPr>
                <ns0:t xml:space="preserve">Full direct report</ns0:t>
              </ns0:r>
            </ns0:hyperlink>
            <ns0:r>
              <ns0:t xml:space="preserve"> | </ns0:t>
            </ns0:r>
            <ns0:hyperlink ns2:id="rId25">
              <ns0:r>
                <ns0:rPr>
                  <ns0:color ns0:val="0563C1"/>
                  <ns0:u ns0:val="single"/>
                </ns0:rPr>
                <ns0:t xml:space="preserve">Candidate calculations</ns0:t>
              </ns0:r>
            </ns0:hyperlink>
          </ns0:p>
        </ns0:tc>
      </ns0:tr>
      <ns0:tr>
        <ns0:trPr>
          <ns0:cantSplit/>
        </ns0:trPr>
        <ns0:tc>
          <ns0:tcPr>
            <ns0:tcW ns0:type="dxa" ns0:w="2203"/>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b/>
                <ns0:sz ns0:val="21"/>
              </ns0:rPr>
              <ns0:t>Open issues and next action</ns0:t>
            </ns0:r>
          </ns0:p>
        </ns0:tc>
        <ns0:tc>
          <ns0:tcPr>
            <ns0:tcW ns0:type="dxa" ns0:w="7834"/>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r>
          </ns0:p>
        </ns0:tc>
      </ns0:tr>
      <ns0:tr>
        <ns0:trPr>
          <ns0:cantSplit/>
        </ns0:trPr>
        <ns0:tc>
          <ns0:tcPr>
            <ns0:tcW ns0:type="dxa" ns0:w="2203"/>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b/>
                <ns0:sz ns0:val="21"/>
              </ns0:rPr>
              <ns0:t>Review and reproducibility</ns0:t>
            </ns0:r>
          </ns0:p>
        </ns0:tc>
        <ns0:tc>
          <ns0:tcPr>
            <ns0:tcW ns0:type="dxa" ns0:w="7834"/>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Researcher name: [name] | review date: [dd/mm/yyyy]</ns0:t>
            </ns0:r>
          </ns0:p>
        </ns0:tc>
      </ns0:tr>
    </ns0:tbl>
    <ns0:p>
      <ns0:r>
        <ns0:br ns0:type="page"/>
      </ns0:r>
    </ns0:p>
    <ns0:p>
      <ns0:pPr>
        <ns0:pStyle ns0:val="Heading1"/>
      </ns0:pPr>
      <ns0:r>
        <ns0:t>Taxon mapping and coverage</ns0:t>
      </ns0:r>
    </ns0:p>
    <ns0:p>
      <ns0:r>
        <ns0:t>Reference: 2019 landings; all recorded labels, all model groups and no taxon exclusions.</ns0:t>
      </ns0:r>
    </ns0:p>
    <ns0:p>
      <ns0:r>
        <ns0:t>39 source ecological groups plus two fleet records and one computational import; 218 catch taxa.</ns0:t>
      </ns0:r>
    </ns0:p>
    <ns0:p>
      <ns0:r>
        <ns0:t>Simple-chain PPR totals 277,099,551.43 t C in 2019.</ns0:t>
      </ns0:r>
    </ns0:p>
    <ns0:p>
      <ns0:r>
        <ns0:t>34 labels lack classic TL/coefficient inputs; all have zero 2019 landings and contribute zero annual PPR. Their coefficients remain unavailable.</ns0:t>
      </ns0:r>
    </ns0:p>
    <ns0:p>
      <ns0:r>
        <ns0:t>Method: independent simple trophic chain using the saved regional coefficients.</ns0:t>
      </ns0:r>
    </ns0:p>
    <ns0:p>
      <ns0:r/>
      <ns0:hyperlink ns2:id="rId26">
        <ns0:r>
          <ns0:rPr>
            <ns0:color ns0:val="0563C1"/>
            <ns0:u ns0:val="single"/>
          </ns0:rPr>
          <ns0:t xml:space="preserve">Excel taxon appendix</ns0:t>
        </ns0:r>
      </ns0:hyperlink>
      <ns0:r>
        <ns0:t xml:space="preserve"> | </ns0:t>
      </ns0:r>
      <ns0:hyperlink ns2:id="rId27">
        <ns0:r>
          <ns0:rPr>
            <ns0:color ns0:val="0563C1"/>
            <ns0:u ns0:val="single"/>
          </ns0:rPr>
          <ns0:t xml:space="preserve">Descriptive Sources sheet</ns0:t>
        </ns0:r>
      </ns0:hyperlink>
    </ns0:p>
    <ns0:tbl>
      <ns0:tblPr>
        <ns0:tblW ns0:type="auto" ns0:w="0"/>
        <ns0:jc ns0:val="center"/>
        <ns0:tblLayout ns0:type="fixed"/>
        <ns0:tblLook ns0:firstColumn="1" ns0:firstRow="1" ns0:lastColumn="0" ns0:lastRow="0" ns0:noHBand="0" ns0:noVBand="1" ns0:val="04A0"/>
      </ns0:tblPr>
      <ns0:tblGrid>
        <ns0:gridCol ns0:w="3888"/>
        <ns0:gridCol ns0:w="1440"/>
        <ns0:gridCol ns0:w="2304"/>
        <ns0:gridCol ns0:w="2376"/>
      </ns0:tblGrid>
      <ns0:tr>
        <ns0:trPr>
          <ns0:cantSplit/>
          <ns0:tblHeader/>
          <ns0:tblHeader/>
          <ns0:cantSplit/>
        </ns0:trPr>
        <ns0:tc>
          <ns0:tcPr>
            <ns0:tcW ns0:type="dxa" ns0:w="3888"/>
            <ns0:vAlign ns0:val="center"/>
            <ns0:shd ns0:fill="E5ECF0"/>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keepNext/>
              <ns0:spacing ns0:after="40"/>
            </ns0:pPr>
            <ns0:r>
              <ns0:rPr>
                <ns0:rFonts ns0:ascii="Calibri" ns0:hAnsi="Calibri"/>
                <ns0:b/>
                <ns0:sz ns0:val="21"/>
              </ns0:rPr>
              <ns0:t>Overall confidence</ns0:t>
            </ns0:r>
          </ns0:p>
        </ns0:tc>
        <ns0:tc>
          <ns0:tcPr>
            <ns0:tcW ns0:type="dxa" ns0:w="1440"/>
            <ns0:vAlign ns0:val="center"/>
            <ns0:shd ns0:fill="E5ECF0"/>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keepNext/>
              <ns0:spacing ns0:after="40"/>
            </ns0:pPr>
            <ns0:r>
              <ns0:rPr>
                <ns0:rFonts ns0:ascii="Calibri" ns0:hAnsi="Calibri"/>
                <ns0:b/>
                <ns0:sz ns0:val="21"/>
              </ns0:rPr>
              <ns0:t>Taxa (n)</ns0:t>
            </ns0:r>
          </ns0:p>
        </ns0:tc>
        <ns0:tc>
          <ns0:tcPr>
            <ns0:tcW ns0:type="dxa" ns0:w="2304"/>
            <ns0:vAlign ns0:val="center"/>
            <ns0:shd ns0:fill="E5ECF0"/>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keepNext/>
              <ns0:spacing ns0:after="40"/>
            </ns0:pPr>
            <ns0:r>
              <ns0:rPr>
                <ns0:rFonts ns0:ascii="Calibri" ns0:hAnsi="Calibri"/>
                <ns0:b/>
                <ns0:sz ns0:val="21"/>
              </ns0:rPr>
              <ns0:t>Catch (%)</ns0:t>
            </ns0:r>
          </ns0:p>
        </ns0:tc>
        <ns0:tc>
          <ns0:tcPr>
            <ns0:tcW ns0:type="dxa" ns0:w="2376"/>
            <ns0:vAlign ns0:val="center"/>
            <ns0:shd ns0:fill="E5ECF0"/>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keepNext/>
              <ns0:spacing ns0:after="40"/>
            </ns0:pPr>
            <ns0:r>
              <ns0:rPr>
                <ns0:rFonts ns0:ascii="Calibri" ns0:hAnsi="Calibri"/>
                <ns0:b/>
                <ns0:sz ns0:val="21"/>
              </ns0:rPr>
              <ns0:t>Simple-chain PPR (%)</ns0:t>
            </ns0:r>
          </ns0:p>
        </ns0:tc>
      </ns0:tr>
      <ns0:tr>
        <ns0:trPr>
          <ns0:cantSplit/>
          <ns0:cantSplit/>
        </ns0:trPr>
        <ns0:tc>
          <ns0:tcPr>
            <ns0:tcW ns0:type="dxa" ns0:w="3888"/>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High</ns0:t>
            </ns0:r>
          </ns0:p>
        </ns0:tc>
        <ns0:tc>
          <ns0:tcPr>
            <ns0:tcW ns0:type="dxa" ns0:w="1440"/>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70</ns0:t>
            </ns0:r>
          </ns0:p>
        </ns0:tc>
        <ns0:tc>
          <ns0:tcPr>
            <ns0:tcW ns0:type="dxa" ns0:w="230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87%</ns0:t>
            </ns0:r>
          </ns0:p>
        </ns0:tc>
        <ns0:tc>
          <ns0:tcPr>
            <ns0:tcW ns0:type="dxa" ns0:w="2376"/>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71%</ns0:t>
            </ns0:r>
          </ns0:p>
        </ns0:tc>
      </ns0:tr>
      <ns0:tr>
        <ns0:trPr>
          <ns0:cantSplit/>
          <ns0:cantSplit/>
        </ns0:trPr>
        <ns0:tc>
          <ns0:tcPr>
            <ns0:tcW ns0:type="dxa" ns0:w="3888"/>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Medium</ns0:t>
            </ns0:r>
          </ns0:p>
        </ns0:tc>
        <ns0:tc>
          <ns0:tcPr>
            <ns0:tcW ns0:type="dxa" ns0:w="1440"/>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104</ns0:t>
            </ns0:r>
          </ns0:p>
        </ns0:tc>
        <ns0:tc>
          <ns0:tcPr>
            <ns0:tcW ns0:type="dxa" ns0:w="230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9.4%</ns0:t>
            </ns0:r>
          </ns0:p>
        </ns0:tc>
        <ns0:tc>
          <ns0:tcPr>
            <ns0:tcW ns0:type="dxa" ns0:w="2376"/>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24%</ns0:t>
            </ns0:r>
          </ns0:p>
        </ns0:tc>
      </ns0:tr>
      <ns0:tr>
        <ns0:trPr>
          <ns0:cantSplit/>
          <ns0:cantSplit/>
        </ns0:trPr>
        <ns0:tc>
          <ns0:tcPr>
            <ns0:tcW ns0:type="dxa" ns0:w="3888"/>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Low</ns0:t>
            </ns0:r>
          </ns0:p>
        </ns0:tc>
        <ns0:tc>
          <ns0:tcPr>
            <ns0:tcW ns0:type="dxa" ns0:w="1440"/>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17</ns0:t>
            </ns0:r>
          </ns0:p>
        </ns0:tc>
        <ns0:tc>
          <ns0:tcPr>
            <ns0:tcW ns0:type="dxa" ns0:w="230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0.24%</ns0:t>
            </ns0:r>
          </ns0:p>
        </ns0:tc>
        <ns0:tc>
          <ns0:tcPr>
            <ns0:tcW ns0:type="dxa" ns0:w="2376"/>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0.26%</ns0:t>
            </ns0:r>
          </ns0:p>
        </ns0:tc>
      </ns0:tr>
      <ns0:tr>
        <ns0:trPr>
          <ns0:cantSplit/>
          <ns0:cantSplit/>
        </ns0:trPr>
        <ns0:tc>
          <ns0:tcPr>
            <ns0:tcW ns0:type="dxa" ns0:w="3888"/>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Very low</ns0:t>
            </ns0:r>
          </ns0:p>
        </ns0:tc>
        <ns0:tc>
          <ns0:tcPr>
            <ns0:tcW ns0:type="dxa" ns0:w="1440"/>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27</ns0:t>
            </ns0:r>
          </ns0:p>
        </ns0:tc>
        <ns0:tc>
          <ns0:tcPr>
            <ns0:tcW ns0:type="dxa" ns0:w="230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3.2%</ns0:t>
            </ns0:r>
          </ns0:p>
        </ns0:tc>
        <ns0:tc>
          <ns0:tcPr>
            <ns0:tcW ns0:type="dxa" ns0:w="2376"/>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4.9%</ns0:t>
            </ns0:r>
          </ns0:p>
        </ns0:tc>
      </ns0:tr>
      <ns0:tr>
        <ns0:trPr>
          <ns0:cantSplit/>
          <ns0:cantSplit/>
        </ns0:trPr>
        <ns0:tc>
          <ns0:tcPr>
            <ns0:tcW ns0:type="dxa" ns0:w="3888"/>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Unresolved</ns0:t>
            </ns0:r>
          </ns0:p>
        </ns0:tc>
        <ns0:tc>
          <ns0:tcPr>
            <ns0:tcW ns0:type="dxa" ns0:w="1440"/>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0</ns0:t>
            </ns0:r>
          </ns0:p>
        </ns0:tc>
        <ns0:tc>
          <ns0:tcPr>
            <ns0:tcW ns0:type="dxa" ns0:w="230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0%</ns0:t>
            </ns0:r>
          </ns0:p>
        </ns0:tc>
        <ns0:tc>
          <ns0:tcPr>
            <ns0:tcW ns0:type="dxa" ns0:w="2376"/>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0%</ns0:t>
            </ns0:r>
          </ns0:p>
        </ns0:tc>
      </ns0:tr>
    </ns0:tbl>
    <ns0:p>
      <ns0:r>
        <ns0:t>Overall confidence uses the weaker required membership or allocation component.</ns0:t>
      </ns0:r>
    </ns0:p>
    <ns0:p>
      <ns0:pPr>
        <ns0:pStyle ns0:val="Heading2"/>
      </ns0:pPr>
      <ns0:r>
        <ns0:t>Group assignment rules</ns0:t>
      </ns0:r>
    </ns0:p>
    <ns0:tbl>
      <ns0:tblPr>
        <ns0:tblW ns0:type="auto" ns0:w="0"/>
        <ns0:jc ns0:val="center"/>
        <ns0:tblLayout ns0:type="fixed"/>
        <ns0:tblLook ns0:firstColumn="1" ns0:firstRow="1" ns0:lastColumn="0" ns0:lastRow="0" ns0:noHBand="0" ns0:noVBand="1" ns0:val="04A0"/>
      </ns0:tblPr>
      <ns0:tblGrid>
        <ns0:gridCol ns0:w="6624"/>
        <ns0:gridCol ns0:w="1512"/>
        <ns0:gridCol ns0:w="1872"/>
      </ns0:tblGrid>
      <ns0:tr>
        <ns0:trPr>
          <ns0:cantSplit/>
          <ns0:tblHeader/>
          <ns0:tblHeader/>
          <ns0:cantSplit/>
        </ns0:trPr>
        <ns0:tc>
          <ns0:tcPr>
            <ns0:tcW ns0:type="dxa" ns0:w="6624"/>
            <ns0:vAlign ns0:val="center"/>
            <ns0:shd ns0:fill="E5ECF0"/>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keepNext/>
              <ns0:spacing ns0:after="40"/>
            </ns0:pPr>
            <ns0:r>
              <ns0:rPr>
                <ns0:rFonts ns0:ascii="Calibri" ns0:hAnsi="Calibri"/>
                <ns0:b/>
                <ns0:sz ns0:val="21"/>
              </ns0:rPr>
              <ns0:t>Plain-language rule</ns0:t>
            </ns0:r>
          </ns0:p>
        </ns0:tc>
        <ns0:tc>
          <ns0:tcPr>
            <ns0:tcW ns0:type="dxa" ns0:w="1512"/>
            <ns0:vAlign ns0:val="center"/>
            <ns0:shd ns0:fill="E5ECF0"/>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keepNext/>
              <ns0:spacing ns0:after="40"/>
            </ns0:pPr>
            <ns0:r>
              <ns0:rPr>
                <ns0:rFonts ns0:ascii="Calibri" ns0:hAnsi="Calibri"/>
                <ns0:b/>
                <ns0:sz ns0:val="21"/>
              </ns0:rPr>
              <ns0:t>Confidence</ns0:t>
            </ns0:r>
          </ns0:p>
        </ns0:tc>
        <ns0:tc>
          <ns0:tcPr>
            <ns0:tcW ns0:type="dxa" ns0:w="1872"/>
            <ns0:vAlign ns0:val="center"/>
            <ns0:shd ns0:fill="E5ECF0"/>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keepNext/>
              <ns0:spacing ns0:after="40"/>
            </ns0:pPr>
            <ns0:r>
              <ns0:rPr>
                <ns0:rFonts ns0:ascii="Calibri" ns0:hAnsi="Calibri"/>
                <ns0:b/>
                <ns0:sz ns0:val="21"/>
              </ns0:rPr>
              <ns0:t>PPR percentage</ns0:t>
            </ns0:r>
          </ns0:p>
        </ns0:tc>
      </ns0:tr>
      <ns0:tr>
        <ns0:trPr>
          <ns0:cantSplit/>
          <ns0:cantSplit/>
        </ns0:trPr>
        <ns0:tc>
          <ns0:tcPr>
            <ns0:tcW ns0:type="dxa" ns0:w="662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Explicit inclusion of the taxon in the source model</ns0:t>
            </ns0:r>
          </ns0:p>
        </ns0:tc>
        <ns0:tc>
          <ns0:tcPr>
            <ns0:tcW ns0:type="dxa" ns0:w="1512"/>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High</ns0:t>
            </ns0:r>
          </ns0:p>
        </ns0:tc>
        <ns0:tc>
          <ns0:tcPr>
            <ns0:tcW ns0:type="dxa" ns0:w="1872"/>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71%</ns0:t>
            </ns0:r>
          </ns0:p>
        </ns0:tc>
      </ns0:tr>
      <ns0:tr>
        <ns0:trPr>
          <ns0:cantSplit/>
          <ns0:cantSplit/>
        </ns0:trPr>
        <ns0:tc>
          <ns0:tcPr>
            <ns0:tcW ns0:type="dxa" ns0:w="662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Supported extension from the source’s listed representative taxa</ns0:t>
            </ns0:r>
          </ns0:p>
        </ns0:tc>
        <ns0:tc>
          <ns0:tcPr>
            <ns0:tcW ns0:type="dxa" ns0:w="1512"/>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Medium</ns0:t>
            </ns0:r>
          </ns0:p>
        </ns0:tc>
        <ns0:tc>
          <ns0:tcPr>
            <ns0:tcW ns0:type="dxa" ns0:w="1872"/>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7.3%</ns0:t>
            </ns0:r>
          </ns0:p>
        </ns0:tc>
      </ns0:tr>
      <ns0:tr>
        <ns0:trPr>
          <ns0:cantSplit/>
          <ns0:cantSplit/>
        </ns0:trPr>
        <ns0:tc>
          <ns0:tcPr>
            <ns0:tcW ns0:type="dxa" ns0:w="662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Source membership connected through a verified synonym or documented spelling correction</ns0:t>
            </ns0:r>
          </ns0:p>
        </ns0:tc>
        <ns0:tc>
          <ns0:tcPr>
            <ns0:tcW ns0:type="dxa" ns0:w="1512"/>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High</ns0:t>
            </ns0:r>
          </ns0:p>
        </ns0:tc>
        <ns0:tc>
          <ns0:tcPr>
            <ns0:tcW ns0:type="dxa" ns0:w="1872"/>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6.7%</ns0:t>
            </ns0:r>
          </ns0:p>
        </ns0:tc>
      </ns0:tr>
      <ns0:tr>
        <ns0:trPr>
          <ns0:cantSplit/>
          <ns0:cantSplit/>
        </ns0:trPr>
        <ns0:tc>
          <ns0:tcPr>
            <ns0:tcW ns0:type="dxa" ns0:w="662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Supported ecological assignment requiring a group-boundary interpretation</ns0:t>
            </ns0:r>
          </ns0:p>
        </ns0:tc>
        <ns0:tc>
          <ns0:tcPr>
            <ns0:tcW ns0:type="dxa" ns0:w="1512"/>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Medium</ns0:t>
            </ns0:r>
          </ns0:p>
        </ns0:tc>
        <ns0:tc>
          <ns0:tcPr>
            <ns0:tcW ns0:type="dxa" ns0:w="1872"/>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6.6%</ns0:t>
            </ns0:r>
          </ns0:p>
        </ns0:tc>
      </ns0:tr>
      <ns0:tr>
        <ns0:trPr>
          <ns0:cantSplit/>
          <ns0:cantSplit/>
        </ns0:trPr>
        <ns0:tc>
          <ns0:tcPr>
            <ns0:tcW ns0:type="dxa" ns0:w="662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Closest represented ecological or taxonomic analogue</ns0:t>
            </ns0:r>
          </ns0:p>
        </ns0:tc>
        <ns0:tc>
          <ns0:tcPr>
            <ns0:tcW ns0:type="dxa" ns0:w="1512"/>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Very low</ns0:t>
            </ns0:r>
          </ns0:p>
        </ns0:tc>
        <ns0:tc>
          <ns0:tcPr>
            <ns0:tcW ns0:type="dxa" ns0:w="1872"/>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3.3%</ns0:t>
            </ns0:r>
          </ns0:p>
        </ns0:tc>
      </ns0:tr>
      <ns0:tr>
        <ns0:trPr>
          <ns0:cantSplit/>
          <ns0:cantSplit/>
        </ns0:trPr>
        <ns0:tc>
          <ns0:tcPr>
            <ns0:tcW ns0:type="dxa" ns0:w="662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Assumed eligible group set supported by taxonomy and ecology</ns0:t>
            </ns0:r>
          </ns0:p>
        </ns0:tc>
        <ns0:tc>
          <ns0:tcPr>
            <ns0:tcW ns0:type="dxa" ns0:w="1512"/>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Medium</ns0:t>
            </ns0:r>
          </ns0:p>
        </ns0:tc>
        <ns0:tc>
          <ns0:tcPr>
            <ns0:tcW ns0:type="dxa" ns0:w="1872"/>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3.2%</ns0:t>
            </ns0:r>
          </ns0:p>
        </ns0:tc>
      </ns0:tr>
      <ns0:tr>
        <ns0:trPr>
          <ns0:cantSplit/>
          <ns0:cantSplit/>
        </ns0:trPr>
        <ns0:tc>
          <ns0:tcPr>
            <ns0:tcW ns0:type="dxa" ns0:w="662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Approximation of a broad reporting category across plausible model pools</ns0:t>
            </ns0:r>
          </ns0:p>
        </ns0:tc>
        <ns0:tc>
          <ns0:tcPr>
            <ns0:tcW ns0:type="dxa" ns0:w="1512"/>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Very low</ns0:t>
            </ns0:r>
          </ns0:p>
        </ns0:tc>
        <ns0:tc>
          <ns0:tcPr>
            <ns0:tcW ns0:type="dxa" ns0:w="1872"/>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1.6%</ns0:t>
            </ns0:r>
          </ns0:p>
        </ns0:tc>
      </ns0:tr>
      <ns0:tr>
        <ns0:trPr>
          <ns0:cantSplit/>
          <ns0:cantSplit/>
        </ns0:trPr>
        <ns0:tc>
          <ns0:tcPr>
            <ns0:tcW ns0:type="dxa" ns0:w="662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Partial or competing ecological fit</ns0:t>
            </ns0:r>
          </ns0:p>
        </ns0:tc>
        <ns0:tc>
          <ns0:tcPr>
            <ns0:tcW ns0:type="dxa" ns0:w="1512"/>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Low</ns0:t>
            </ns0:r>
          </ns0:p>
        </ns0:tc>
        <ns0:tc>
          <ns0:tcPr>
            <ns0:tcW ns0:type="dxa" ns0:w="1872"/>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0.26%</ns0:t>
            </ns0:r>
          </ns0:p>
        </ns0:tc>
      </ns0:tr>
      <ns0:tr>
        <ns0:trPr>
          <ns0:cantSplit/>
          <ns0:cantSplit/>
        </ns0:trPr>
        <ns0:tc>
          <ns0:tcPr>
            <ns0:tcW ns0:type="dxa" ns0:w="662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Unambiguous fit to a documented taxonomic or ecological group</ns0:t>
            </ns0:r>
          </ns0:p>
        </ns0:tc>
        <ns0:tc>
          <ns0:tcPr>
            <ns0:tcW ns0:type="dxa" ns0:w="1512"/>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High</ns0:t>
            </ns0:r>
          </ns0:p>
        </ns0:tc>
        <ns0:tc>
          <ns0:tcPr>
            <ns0:tcW ns0:type="dxa" ns0:w="1872"/>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0.15%</ns0:t>
            </ns0:r>
          </ns0:p>
        </ns0:tc>
      </ns0:tr>
    </ns0:tbl>
    <ns0:p>
      <ns0:r>
        <ns0:t xml:space="preserve">Membership evidence: exact supplement group definitions, source taxonomic lists and authoritative synonym/habitat records. </ns0:t>
      </ns0:r>
      <ns0:hyperlink ns2:id="rId28">
        <ns0:r>
          <ns0:rPr>
            <ns0:color ns0:val="0563C1"/>
            <ns0:u ns0:val="single"/>
          </ns0:rPr>
          <ns0:t xml:space="preserve">Complete mapping evidence</ns0:t>
        </ns0:r>
      </ns0:hyperlink>
    </ns0:p>
    <ns0:p>
      <ns0:pPr>
        <ns0:pStyle ns0:val="Heading2"/>
      </ns0:pPr>
      <ns0:r>
        <ns0:t>Allocation weight rules</ns0:t>
      </ns0:r>
    </ns0:p>
    <ns0:tbl>
      <ns0:tblPr>
        <ns0:tblW ns0:type="auto" ns0:w="0"/>
        <ns0:jc ns0:val="center"/>
        <ns0:tblLayout ns0:type="fixed"/>
        <ns0:tblLook ns0:firstColumn="1" ns0:firstRow="1" ns0:lastColumn="0" ns0:lastRow="0" ns0:noHBand="0" ns0:noVBand="1" ns0:val="04A0"/>
      </ns0:tblPr>
      <ns0:tblGrid>
        <ns0:gridCol ns0:w="6624"/>
        <ns0:gridCol ns0:w="1512"/>
        <ns0:gridCol ns0:w="1872"/>
      </ns0:tblGrid>
      <ns0:tr>
        <ns0:trPr>
          <ns0:cantSplit/>
          <ns0:tblHeader/>
          <ns0:tblHeader/>
          <ns0:cantSplit/>
        </ns0:trPr>
        <ns0:tc>
          <ns0:tcPr>
            <ns0:tcW ns0:type="dxa" ns0:w="6624"/>
            <ns0:vAlign ns0:val="center"/>
            <ns0:shd ns0:fill="E5ECF0"/>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keepNext/>
              <ns0:spacing ns0:after="40"/>
            </ns0:pPr>
            <ns0:r>
              <ns0:rPr>
                <ns0:rFonts ns0:ascii="Calibri" ns0:hAnsi="Calibri"/>
                <ns0:b/>
                <ns0:sz ns0:val="21"/>
              </ns0:rPr>
              <ns0:t>Plain-language rule</ns0:t>
            </ns0:r>
          </ns0:p>
        </ns0:tc>
        <ns0:tc>
          <ns0:tcPr>
            <ns0:tcW ns0:type="dxa" ns0:w="1512"/>
            <ns0:vAlign ns0:val="center"/>
            <ns0:shd ns0:fill="E5ECF0"/>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keepNext/>
              <ns0:spacing ns0:after="40"/>
            </ns0:pPr>
            <ns0:r>
              <ns0:rPr>
                <ns0:rFonts ns0:ascii="Calibri" ns0:hAnsi="Calibri"/>
                <ns0:b/>
                <ns0:sz ns0:val="21"/>
              </ns0:rPr>
              <ns0:t>Confidence</ns0:t>
            </ns0:r>
          </ns0:p>
        </ns0:tc>
        <ns0:tc>
          <ns0:tcPr>
            <ns0:tcW ns0:type="dxa" ns0:w="1872"/>
            <ns0:vAlign ns0:val="center"/>
            <ns0:shd ns0:fill="E5ECF0"/>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keepNext/>
              <ns0:spacing ns0:after="40"/>
            </ns0:pPr>
            <ns0:r>
              <ns0:rPr>
                <ns0:rFonts ns0:ascii="Calibri" ns0:hAnsi="Calibri"/>
                <ns0:b/>
                <ns0:sz ns0:val="21"/>
              </ns0:rPr>
              <ns0:t>PPR percentage</ns0:t>
            </ns0:r>
          </ns0:p>
        </ns0:tc>
      </ns0:tr>
      <ns0:tr>
        <ns0:trPr>
          <ns0:cantSplit/>
          <ns0:cantSplit/>
        </ns0:trPr>
        <ns0:tc>
          <ns0:tcPr>
            <ns0:tcW ns0:type="dxa" ns0:w="662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One group; no allocation split required</ns0:t>
            </ns0:r>
          </ns0:p>
        </ns0:tc>
        <ns0:tc>
          <ns0:tcPr>
            <ns0:tcW ns0:type="dxa" ns0:w="1512"/>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High</ns0:t>
            </ns0:r>
          </ns0:p>
        </ns0:tc>
        <ns0:tc>
          <ns0:tcPr>
            <ns0:tcW ns0:type="dxa" ns0:w="1872"/>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86%</ns0:t>
            </ns0:r>
          </ns0:p>
        </ns0:tc>
      </ns0:tr>
      <ns0:tr>
        <ns0:trPr>
          <ns0:cantSplit/>
          <ns0:cantSplit/>
        </ns0:trPr>
        <ns0:tc>
          <ns0:tcPr>
            <ns0:tcW ns0:type="dxa" ns0:w="662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Allocation proportional to native source-model landings</ns0:t>
            </ns0:r>
          </ns0:p>
        </ns0:tc>
        <ns0:tc>
          <ns0:tcPr>
            <ns0:tcW ns0:type="dxa" ns0:w="1512"/>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Medium</ns0:t>
            </ns0:r>
          </ns0:p>
        </ns0:tc>
        <ns0:tc>
          <ns0:tcPr>
            <ns0:tcW ns0:type="dxa" ns0:w="1872"/>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14%</ns0:t>
            </ns0:r>
          </ns0:p>
        </ns0:tc>
      </ns0:tr>
      <ns0:tr>
        <ns0:trPr>
          <ns0:cantSplit/>
          <ns0:cantSplit/>
        </ns0:trPr>
        <ns0:tc>
          <ns0:tcPr>
            <ns0:tcW ns0:type="dxa" ns0:w="662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Complete source-model biomass fallback after unusable landings</ns0:t>
            </ns0:r>
          </ns0:p>
        </ns0:tc>
        <ns0:tc>
          <ns0:tcPr>
            <ns0:tcW ns0:type="dxa" ns0:w="1512"/>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Medium</ns0:t>
            </ns0:r>
          </ns0:p>
        </ns0:tc>
        <ns0:tc>
          <ns0:tcPr>
            <ns0:tcW ns0:type="dxa" ns0:w="1872"/>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0.046%</ns0:t>
            </ns0:r>
          </ns0:p>
        </ns0:tc>
      </ns0:tr>
    </ns0:tbl>
    <ns0:p>
      <ns0:r>
        <ns0:t xml:space="preserve">Weights use measured composition only when applicable. The source-model landings proxy is used before biomass; assumed proportions are fixed across catch years, with stage, fishery and geographic transfers recorded. </ns0:t>
      </ns0:r>
      <ns0:hyperlink ns2:id="rId28">
        <ns0:r>
          <ns0:rPr>
            <ns0:color ns0:val="0563C1"/>
            <ns0:u ns0:val="single"/>
          </ns0:rPr>
          <ns0:t xml:space="preserve">Allocation evidence</ns0:t>
        </ns0:r>
      </ns0:hyperlink>
    </ns0:p>
    <ns0:p>
      <ns0:r>
        <ns0:t>Each percentage is the independent simple-chain PPR associated with taxa using that rule.</ns0:t>
      </ns0:r>
    </ns0:p>
    <ns0:p>
      <ns0:r>
        <ns0:t>Unresolved taxa: none. 27 Very low decisions account for 3.2% of catch and 4.9% of independent simple-chain PPR.</ns0:t>
      </ns0:r>
    </ns0:p>
    <ns0:p>
      <ns0:pPr>
        <ns0:pStyle ns0:val="Heading2"/>
      </ns0:pPr>
      <ns0:r>
        <ns0:t>Very low decisions</ns0:t>
      </ns0:r>
    </ns0:p>
    <ns0:tbl>
      <ns0:tblPr>
        <ns0:tblW ns0:type="auto" ns0:w="0"/>
        <ns0:jc ns0:val="center"/>
        <ns0:tblLayout ns0:type="fixed"/>
        <ns0:tblLook ns0:firstColumn="1" ns0:firstRow="1" ns0:lastColumn="0" ns0:lastRow="0" ns0:noHBand="0" ns0:noVBand="1" ns0:val="04A0"/>
      </ns0:tblPr>
      <ns0:tblGrid>
        <ns0:gridCol ns0:w="3298"/>
        <ns0:gridCol ns0:w="6710"/>
      </ns0:tblGrid>
      <ns0:tr>
        <ns0:trPr>
          <ns0:cantSplit/>
          <ns0:tblHeader/>
          <ns0:tblHeader/>
          <ns0:cantSplit/>
        </ns0:trPr>
        <ns0:tc>
          <ns0:tcPr>
            <ns0:tcW ns0:type="dxa" ns0:w="3298"/>
            <ns0:vAlign ns0:val="center"/>
            <ns0:shd ns0:fill="E5ECF0"/>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keepNext/>
              <ns0:spacing ns0:after="40"/>
            </ns0:pPr>
            <ns0:r>
              <ns0:rPr>
                <ns0:rFonts ns0:ascii="Calibri" ns0:hAnsi="Calibri"/>
                <ns0:b/>
                <ns0:sz ns0:val="21"/>
              </ns0:rPr>
              <ns0:t>Affected taxa</ns0:t>
            </ns0:r>
          </ns0:p>
        </ns0:tc>
        <ns0:tc>
          <ns0:tcPr>
            <ns0:tcW ns0:type="dxa" ns0:w="6710"/>
            <ns0:vAlign ns0:val="center"/>
            <ns0:shd ns0:fill="E5ECF0"/>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keepNext/>
              <ns0:spacing ns0:after="40"/>
            </ns0:pPr>
            <ns0:r>
              <ns0:rPr>
                <ns0:rFonts ns0:ascii="Calibri" ns0:hAnsi="Calibri"/>
                <ns0:b/>
                <ns0:sz ns0:val="21"/>
              </ns0:rPr>
              <ns0:t>Why confidence is very low</ns0:t>
            </ns0:r>
          </ns0:p>
        </ns0:tc>
      </ns0:tr>
      <ns0:tr>
        <ns0:trPr>
          <ns0:cantSplit/>
          <ns0:cantSplit/>
        </ns0:trPr>
        <ns0:tc>
          <ns0:tcPr>
            <ns0:tcW ns0:type="dxa" ns0:w="3298"/>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Actinopterygii; Gadiformes; Marine finfishes not identified; Marine fishes not identified; Marine groundfishes not identified; Marine pelagic fishes not identified; Perciformes; Scorpaeniformes</ns0:t>
            </ns0:r>
          </ns0:p>
        </ns0:tc>
        <ns0:tc>
          <ns0:tcPr>
            <ns0:tcW ns0:type="dxa" ns0:w="6710"/>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Broad fish reporting labels have unknown composition across named and residual pools, historical taxonomic scope, and potentially unrepresented deep-water members; native landings approximate their mixtures.</ns0:t>
            </ns0:r>
          </ns0:p>
        </ns0:tc>
      </ns0:tr>
      <ns0:tr>
        <ns0:trPr>
          <ns0:cantSplit/>
          <ns0:cantSplit/>
        </ns0:trPr>
        <ns0:tc>
          <ns0:tcPr>
            <ns0:tcW ns0:type="dxa" ns0:w="3298"/>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Batoidea; Chondrichthyes; Elasmobranchii; Myliobatidae</ns0:t>
            </ns0:r>
          </ns0:p>
        </ns0:tc>
        <ns0:tc>
          <ns0:tcPr>
            <ns0:tcW ns0:type="dxa" ns0:w="6710"/>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Broad/historical cartilaginous labels cross benthic and water-column pools with unrepresented chimaera or filter-feeding ray components.</ns0:t>
            </ns0:r>
          </ns0:p>
        </ns0:tc>
      </ns0:tr>
      <ns0:tr>
        <ns0:trPr>
          <ns0:cantSplit/>
          <ns0:cantSplit/>
        </ns0:trPr>
        <ns0:tc>
          <ns0:tcPr>
            <ns0:tcW ns0:type="dxa" ns0:w="3298"/>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Callorhinchus callorynchus</ns0:t>
            </ns0:r>
          </ns0:p>
        </ns0:tc>
        <ns0:tc>
          <ns0:tcPr>
            <ns0:tcW ns0:type="dxa" ns0:w="6710"/>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Benthic chimaera uses an elasmobranch analogue across the Holocephali/Elasmobranchii boundary.</ns0:t>
            </ns0:r>
          </ns0:p>
        </ns0:tc>
      </ns0:tr>
      <ns0:tr>
        <ns0:trPr>
          <ns0:cantSplit/>
          <ns0:cantSplit/>
        </ns0:trPr>
        <ns0:tc>
          <ns0:tcPr>
            <ns0:tcW ns0:type="dxa" ns0:w="3298"/>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Decapoda; Malacostraca; Miscellaneous marine crustaceans</ns0:t>
            </ns0:r>
          </ns0:p>
        </ns0:tc>
        <ns0:tc>
          <ns0:tcPr>
            <ns0:tcW ns0:type="dxa" ns0:w="6710"/>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Benthic/pelagic mixture uses macrozooplankton/benthos biomass because native landings are zero; a 2–20 mm size mismatch remains.</ns0:t>
            </ns0:r>
          </ns0:p>
        </ns0:tc>
      </ns0:tr>
      <ns0:tr>
        <ns0:trPr>
          <ns0:cantSplit/>
          <ns0:cantSplit/>
        </ns0:trPr>
        <ns0:tc>
          <ns0:tcPr>
            <ns0:tcW ns0:type="dxa" ns0:w="3298"/>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Dissostichus eleginoides; Hoplostethus atlanticus</ns0:t>
            </ns0:r>
          </ns0:p>
        </ns0:tc>
        <ns0:tc>
          <ns0:tcPr>
            <ns0:tcW ns0:type="dxa" ns0:w="6710"/>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Deep, cold-water fishes use a medium-demersal analogue with population, depth and size mismatches.</ns0:t>
            </ns0:r>
          </ns0:p>
        </ns0:tc>
      </ns0:tr>
      <ns0:tr>
        <ns0:trPr>
          <ns0:cantSplit/>
          <ns0:cantSplit/>
        </ns0:trPr>
        <ns0:tc>
          <ns0:tcPr>
            <ns0:tcW ns0:type="dxa" ns0:w="3298"/>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Galatheidae; Grimothea monodon</ns0:t>
            </ns0:r>
          </ns0:p>
        </ns0:tc>
        <ns0:tc>
          <ns0:tcPr>
            <ns0:tcW ns0:type="dxa" ns0:w="6710"/>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Squat lobsters lack a source pool; macrozooplankton/benthos biomass weights retain the 2–20 mm size mismatch.</ns0:t>
            </ns0:r>
          </ns0:p>
        </ns0:tc>
      </ns0:tr>
      <ns0:tr>
        <ns0:trPr>
          <ns0:cantSplit/>
          <ns0:cantSplit/>
        </ns0:trPr>
        <ns0:tc>
          <ns0:tcPr>
            <ns0:tcW ns0:type="dxa" ns0:w="3298"/>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Galaxias maculatus</ns0:t>
            </ns0:r>
          </ns0:p>
        </ns0:tc>
        <ns0:tc>
          <ns0:tcPr>
            <ns0:tcW ns0:type="dxa" ns0:w="6710"/>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Amphidromous galaxiid lacks a corresponding source population; a coastal small-fish analogue is assumed.</ns0:t>
            </ns0:r>
          </ns0:p>
        </ns0:tc>
      </ns0:tr>
      <ns0:tr>
        <ns0:trPr>
          <ns0:cantSplit/>
          <ns0:cantSplit/>
        </ns0:trPr>
        <ns0:tc>
          <ns0:tcPr>
            <ns0:tcW ns0:type="dxa" ns0:w="3298"/>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Macruronus magellanicus; Merluccius australis; Merluccius gayi; Micromesistius australis</ns0:t>
            </ns0:r>
          </ns0:p>
        </ns0:tc>
        <ns0:tc>
          <ns0:tcPr>
            <ns0:tcW ns0:type="dxa" ns0:w="6710"/>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Non-Peruvian hake/cod-like fishes use Peruvian hake groups; species, southern ecology and size boundaries differ, and native stage landings are transferred.</ns0:t>
            </ns0:r>
          </ns0:p>
        </ns0:tc>
      </ns0:tr>
      <ns0:tr>
        <ns0:trPr>
          <ns0:cantSplit/>
          <ns0:cantSplit/>
        </ns0:trPr>
        <ns0:tc>
          <ns0:tcPr>
            <ns0:tcW ns0:type="dxa" ns0:w="3298"/>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Mobula birostris</ns0:t>
            </ns0:r>
          </ns0:p>
        </ns0:tc>
        <ns0:tc>
          <ns0:tcPr>
            <ns0:tcW ns0:type="dxa" ns0:w="6710"/>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Pelagic filter-feeding manta uses the closest chondrichthyan pool despite the source apex-predator correspondence.</ns0:t>
            </ns0:r>
          </ns0:p>
        </ns0:tc>
      </ns0:tr>
      <ns0:tr>
        <ns0:trPr>
          <ns0:cantSplit/>
          <ns0:cantSplit/>
        </ns0:trPr>
        <ns0:tc>
          <ns0:tcPr>
            <ns0:tcW ns0:type="dxa" ns0:w="3298"/>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Ophichthus</ns0:t>
            </ns0:r>
          </ns0:p>
        </ns0:tc>
        <ns0:tc>
          <ns0:tcPr>
            <ns0:tcW ns0:type="dxa" ns0:w="6710"/>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t>Snake eel mapped to unnamed conger pool despite taxonomic identity differing from the regional congrio interpretation.</ns0:t>
            </ns0:r>
          </ns0:p>
        </ns0:tc>
      </ns0:tr>
    </ns0:tbl>
    <ns0:p>
      <ns0:r>
        <ns0:br ns0:type="page"/>
      </ns0:r>
    </ns0:p>
    <ns0:p>
      <ns0:pPr>
        <ns0:pStyle ns0:val="Heading1"/>
      </ns0:pPr>
      <ns0:r>
        <ns0:t>Geographic evidence</ns0:t>
      </ns0:r>
    </ns0:p>
    <ns0:p>
      <ns0:r>
        <ns0:t>The study covers a northern coastal shelf segment of the target LME. The shaded source boundary was traced approximately against its graticule; reported area and traced area differ, so the A/B ranges express boundary uncertainty.</ns0:t>
      </ns0:r>
    </ns0:p>
    <ns0:p>
      <ns0:pPr>
        <ns0:pStyle ns0:val="Heading2"/>
      </ns0:pPr>
      <ns0:r>
        <ns0:t>Region area</ns0:t>
      </ns0:r>
    </ns0:p>
    <ns0:tbl>
      <ns0:tblPr>
        <ns0:tblW ns0:type="auto" ns0:w="0"/>
        <ns0:jc ns0:val="center"/>
        <ns0:tblLayout ns0:type="fixed"/>
        <ns0:tblLook ns0:firstColumn="1" ns0:firstRow="1" ns0:lastColumn="0" ns0:lastRow="0" ns0:noHBand="0" ns0:noVBand="1" ns0:val="04A0"/>
      </ns0:tblPr>
      <ns0:tblGrid>
        <ns0:gridCol ns0:w="10037"/>
      </ns0:tblGrid>
      <ns0:tr>
        <ns0:trPr>
          <ns0:cantSplit/>
          <ns0:tblHeader/>
          <ns0:tblHeader/>
          <ns0:cantSplit/>
        </ns0:trPr>
        <ns0:tc>
          <ns0:tcPr>
            <ns0:tcW ns0:type="dxa" ns0:w="10037"/>
            <ns0:vAlign ns0:val="center"/>
            <ns0:shd ns0:fill="E5ECF0"/>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keepNext/>
              <ns0:spacing ns0:after="40"/>
            </ns0:pPr>
            <ns0:r>
              <ns0:rPr>
                <ns0:rFonts ns0:ascii="Calibri" ns0:hAnsi="Calibri"/>
                <ns0:b/>
                <ns0:sz ns0:val="21"/>
              </ns0:rPr>
              <ns0:t>Target region boundary</ns0:t>
            </ns0:r>
          </ns0:p>
        </ns0:tc>
      </ns0:tr>
      <ns0:tr>
        <ns0:trPr>
          <ns0:cantSplit/>
          <ns0:cantSplit/>
        </ns0:trPr>
        <ns0:tc>
          <ns0:tcPr>
            <ns0:tcW ns0:type="dxa" ns0:w="10037"/>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
              <ns0:drawing>
                <ns3:inline>
                  <ns3:extent cx="6035040" cy="5029200"/>
                  <ns3:docPr id="1" name="Picture 1"/>
                  <ns3:cNvGraphicFramePr>
                    <ns4:graphicFrameLocks noChangeAspect="1"/>
                  </ns3:cNvGraphicFramePr>
                  <ns4:graphic>
                    <ns4:graphicData uri="http://schemas.openxmlformats.org/drawingml/2006/picture">
                      <ns5:pic>
                        <ns5:nvPicPr>
                          <ns5:cNvPr id="0" name="target_study_comparison.png"/>
                          <ns5:cNvPicPr/>
                        </ns5:nvPicPr>
                        <ns5:blipFill>
                          <ns4:blip ns2:embed="rId30"/>
                          <ns4:stretch>
                            <ns4:fillRect/>
                          </ns4:stretch>
                        </ns5:blipFill>
                        <ns5:spPr>
                          <ns4:xfrm>
                            <ns4:off x="0" y="0"/>
                            <ns4:ext cx="6035040" cy="5029200"/>
                          </ns4:xfrm>
                          <ns4:prstGeom prst="rect"/>
                        </ns5:spPr>
                      </ns5:pic>
                    </ns4:graphicData>
                  </ns4:graphic>
                </ns3:inline>
              </ns0:drawing>
            </ns0:r>
          </ns0:p>
        </ns0:tc>
      </ns0:tr>
    </ns0:tbl>
    <ns0:p>
      <ns0:pPr>
        <ns0:keepNext ns0:val="0"/>
        <ns0:spacing ns0:after="160"/>
      </ns0:pPr>
      <ns0:r>
        <ns0:t xml:space="preserve">Humboldt Current LME_013 Sea Around Us boundary and approximate study trace in common geographic coordinates. </ns0:t>
      </ns0:r>
      <ns0:hyperlink ns2:id="rId23">
        <ns0:r>
          <ns0:rPr>
            <ns0:color ns0:val="0563C1"/>
            <ns0:u ns0:val="single"/>
          </ns0:rPr>
          <ns0:t xml:space="preserve">Boundary evidence</ns0:t>
        </ns0:r>
      </ns0:hyperlink>
    </ns0:p>
    <ns0:p>
      <ns0:pPr>
        <ns0:pStyle ns0:val="Heading2"/>
      </ns0:pPr>
      <ns0:r>
        <ns0:t>Study area in the article</ns0:t>
      </ns0:r>
    </ns0:p>
    <ns0:tbl>
      <ns0:tblPr>
        <ns0:tblW ns0:type="auto" ns0:w="0"/>
        <ns0:jc ns0:val="center"/>
        <ns0:tblLayout ns0:type="fixed"/>
        <ns0:tblLook ns0:firstColumn="1" ns0:firstRow="1" ns0:lastColumn="0" ns0:lastRow="0" ns0:noHBand="0" ns0:noVBand="1" ns0:val="04A0"/>
      </ns0:tblPr>
      <ns0:tblGrid>
        <ns0:gridCol ns0:w="10037"/>
      </ns0:tblGrid>
      <ns0:tr>
        <ns0:trPr>
          <ns0:cantSplit/>
          <ns0:tblHeader/>
          <ns0:tblHeader/>
          <ns0:cantSplit/>
        </ns0:trPr>
        <ns0:tc>
          <ns0:tcPr>
            <ns0:tcW ns0:type="dxa" ns0:w="10037"/>
            <ns0:vAlign ns0:val="center"/>
            <ns0:shd ns0:fill="E5ECF0"/>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keepNext/>
              <ns0:spacing ns0:after="40"/>
            </ns0:pPr>
            <ns0:r>
              <ns0:rPr>
                <ns0:rFonts ns0:ascii="Calibri" ns0:hAnsi="Calibri"/>
                <ns0:b/>
                <ns0:sz ns0:val="21"/>
              </ns0:rPr>
              <ns0:t>Study boundary for the selected model</ns0:t>
            </ns0:r>
          </ns0:p>
        </ns0:tc>
      </ns0:tr>
      <ns0:tr>
        <ns0:trPr>
          <ns0:cantSplit/>
          <ns0:cantSplit/>
        </ns0:trPr>
        <ns0:tc>
          <ns0:tcPr>
            <ns0:tcW ns0:type="dxa" ns0:w="10037"/>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
              <ns0:drawing>
                <ns3:inline>
                  <ns3:extent cx="6035040" cy="4559539"/>
                  <ns3:docPr id="2" name="Picture 2"/>
                  <ns3:cNvGraphicFramePr>
                    <ns4:graphicFrameLocks noChangeAspect="1"/>
                  </ns3:cNvGraphicFramePr>
                  <ns4:graphic>
                    <ns4:graphicData uri="http://schemas.openxmlformats.org/drawingml/2006/picture">
                      <ns5:pic>
                        <ns5:nvPicPr>
                          <ns5:cNvPr id="0" name="study_figure1_crop.png"/>
                          <ns5:cNvPicPr/>
                        </ns5:nvPicPr>
                        <ns5:blipFill>
                          <ns4:blip ns2:embed="rId31"/>
                          <ns4:stretch>
                            <ns4:fillRect/>
                          </ns4:stretch>
                        </ns5:blipFill>
                        <ns5:spPr>
                          <ns4:xfrm>
                            <ns4:off x="0" y="0"/>
                            <ns4:ext cx="6035040" cy="4559539"/>
                          </ns4:xfrm>
                          <ns4:prstGeom prst="rect"/>
                        </ns5:spPr>
                      </ns5:pic>
                    </ns4:graphicData>
                  </ns4:graphic>
                </ns3:inline>
              </ns0:drawing>
            </ns0:r>
          </ns0:p>
        </ns0:tc>
      </ns0:tr>
    </ns0:tbl>
    <ns0:p>
      <ns0:pPr>
        <ns0:keepNext ns0:val="0"/>
        <ns0:spacing ns0:after="160"/>
      </ns0:pPr>
      <ns0:r>
        <ns0:t xml:space="preserve">Chiaverano et al. (2018), original Figure 1, PDF page 2 / printed page 29. Hatching marks the 4°S–16°S coastal domain, up to 111 km offshore. </ns0:t>
      </ns0:r>
      <ns0:hyperlink ns2:id="rId29">
        <ns0:r>
          <ns0:rPr>
            <ns0:color ns0:val="0563C1"/>
            <ns0:u ns0:val="single"/>
          </ns0:rPr>
          <ns0:t xml:space="preserve">Source PDF</ns0:t>
        </ns0:r>
      </ns0:hyperlink>
    </ns0:p>
    <ns0:p>
      <ns0:r/>
    </ns0:p>
    <ns0:sectPr ns0:rsidR="00FC693F" ns0:rsidRPr="0006063C" ns0:rsidSect="00034616">
      <ns0:pgSz ns0:w="11909" ns0:h="16834"/>
      <ns0:pgMar ns0:top="936" ns0:right="936" ns0:bottom="936" ns0:left="936"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ns0:Relationships xmlns:ns0="http://schemas.openxmlformats.org/package/2006/relationships"><ns0:Relationship Id="rId3" Type="http://schemas.openxmlformats.org/officeDocument/2006/relationships/styles" Target="styles.xml" /><ns0:Relationship Id="rId4" Type="http://schemas.microsoft.com/office/2007/relationships/stylesWithEffects" Target="stylesWithEffects.xml" /><ns0:Relationship Id="rId5" Type="http://schemas.openxmlformats.org/officeDocument/2006/relationships/settings" Target="settings.xml" /><ns0:Relationship Id="rId6" Type="http://schemas.openxmlformats.org/officeDocument/2006/relationships/webSettings" Target="webSettings.xml" /><ns0:Relationship Id="rId7" Type="http://schemas.openxmlformats.org/officeDocument/2006/relationships/fontTable" Target="fontTable.xml" /><ns0:Relationship Id="rId8" Type="http://schemas.openxmlformats.org/officeDocument/2006/relationships/theme" Target="theme/theme1.xml" /><ns0:Relationship Id="rId1" Type="http://schemas.openxmlformats.org/officeDocument/2006/relationships/customXml" Target="../customXml/item1.xml" /><ns0:Relationship Id="rId2" Type="http://schemas.openxmlformats.org/officeDocument/2006/relationships/numbering" Target="numbering.xml" /><ns0:Relationship Id="rId9" Type="http://schemas.openxmlformats.org/officeDocument/2006/relationships/hyperlink" Target="../../../../../LME_013.xlsx" TargetMode="External" /><ns0:Relationship Id="rId10" Type="http://schemas.openxmlformats.org/officeDocument/2006/relationships/hyperlink" Target="../extracted_tables/evidence/mapping/catch_universe.json" TargetMode="External" /><ns0:Relationship Id="rId11" Type="http://schemas.openxmlformats.org/officeDocument/2006/relationships/hyperlink" Target="../../../sources/1-s2.0-S0079661117303312-main.pdf" TargetMode="External" /><ns0:Relationship Id="rId12" Type="http://schemas.openxmlformats.org/officeDocument/2006/relationships/hyperlink" Target="https://doi.org/10.1016/j.pocean.2018.04.009" TargetMode="External" /><ns0:Relationship Id="rId13" Type="http://schemas.openxmlformats.org/officeDocument/2006/relationships/hyperlink" Target="../../../../HUM-2026/models/13_1_Chilean_Patagonia_(1980)/model_validation/validation.docx" TargetMode="External" /><ns0:Relationship Id="rId14" Type="http://schemas.openxmlformats.org/officeDocument/2006/relationships/hyperlink" Target="../../Chiaverano2018_detailed_Northern_Humboldt_1995_1998__source/model.json" TargetMode="External" /><ns0:Relationship Id="rId15" Type="http://schemas.openxmlformats.org/officeDocument/2006/relationships/hyperlink" Target="../model.json" TargetMode="External" /><ns0:Relationship Id="rId16" Type="http://schemas.openxmlformats.org/officeDocument/2006/relationships/hyperlink" Target="../extracted_tables/evidence/source/REPORT.md" TargetMode="External" /><ns0:Relationship Id="rId17" Type="http://schemas.openxmlformats.org/officeDocument/2006/relationships/hyperlink" Target="../extracted_tables/evidence/source/SOURCE_CONFLICTS.json" TargetMode="External" /><ns0:Relationship Id="rId18" Type="http://schemas.openxmlformats.org/officeDocument/2006/relationships/hyperlink" Target="../results/diagnostics/loader_matrix_field_ledger.json" TargetMode="External" /><ns0:Relationship Id="rId19" Type="http://schemas.openxmlformats.org/officeDocument/2006/relationships/hyperlink" Target="../extracted_tables/evidence/auto_run_20261003/GE/diagnostic_return.json" TargetMode="External" /><ns0:Relationship Id="rId20" Type="http://schemas.openxmlformats.org/officeDocument/2006/relationships/hyperlink" Target="../extracted_tables/evidence/auto_run_20261003/GE/SPPR.csv" TargetMode="External" /><ns0:Relationship Id="rId21" Type="http://schemas.openxmlformats.org/officeDocument/2006/relationships/hyperlink" Target="../extracted_tables/evidence/auto_run_20261003/TE/diagnostic_return.json" TargetMode="External" /><ns0:Relationship Id="rId22" Type="http://schemas.openxmlformats.org/officeDocument/2006/relationships/hyperlink" Target="../extracted_tables/evidence/auto_run_20261003/TE/SPPR.csv" TargetMode="External" /><ns0:Relationship Id="rId23" Type="http://schemas.openxmlformats.org/officeDocument/2006/relationships/hyperlink" Target="../extracted_tables/evidence/geography/geographic_assessment.json" TargetMode="External" /><ns0:Relationship Id="rId24" Type="http://schemas.openxmlformats.org/officeDocument/2006/relationships/hyperlink" Target="../extracted_tables/evidence/auto_run_20261003/full_direct_report.md" TargetMode="External" /><ns0:Relationship Id="rId25" Type="http://schemas.openxmlformats.org/officeDocument/2006/relationships/hyperlink" Target="../extracted_tables/evidence/auto_run_20261003/candidate_calculation_manifest.json" TargetMode="External" /><ns0:Relationship Id="rId26" Type="http://schemas.openxmlformats.org/officeDocument/2006/relationships/hyperlink" Target="taxon_mapping.xlsx" TargetMode="External" /><ns0:Relationship Id="rId27" Type="http://schemas.openxmlformats.org/officeDocument/2006/relationships/hyperlink" Target="taxon_mapping.xlsx#Sources!A1" TargetMode="External" /><ns0:Relationship Id="rId28" Type="http://schemas.openxmlformats.org/officeDocument/2006/relationships/hyperlink" Target="../extracted_tables/evidence/mapping/mapping_review.json" TargetMode="External" /><ns0:Relationship Id="rId29" Type="http://schemas.openxmlformats.org/officeDocument/2006/relationships/hyperlink" Target="../../../sources/1-s2.0-S0079661117303312-main.pdf#page=2" TargetMode="External" /><ns0:Relationship Id="rId30" Type="http://schemas.openxmlformats.org/officeDocument/2006/relationships/image" Target="media/image1.png" /><ns0:Relationship Id="rId31" Type="http://schemas.openxmlformats.org/officeDocument/2006/relationships/image" Target="media/image2.png" /><ns0:Relationship Id="rIdModelNotes" Type="http://schemas.openxmlformats.org/officeDocument/2006/relationships/hyperlink" Target="../model_notes.md" TargetMode="External"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Regional model validation template</dc:title>
  <dc:subject>Concise evidence summary for researcher review</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