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8E7DC" w14:textId="77777777" w:rsidR="00E25FD2" w:rsidRDefault="00000000">
      <w:pPr>
        <w:pStyle w:val="aa"/>
      </w:pPr>
      <w:r>
        <w:t>Canary Current Sine Saloum thesis candidate review</w:t>
      </w:r>
    </w:p>
    <w:p w14:paraId="6903A348" w14:textId="77777777" w:rsidR="00E25FD2" w:rsidRDefault="00000000">
      <w:r>
        <w:t>The preferred thesis describes a 37-group estuary model for 1991–1992. Its basic table and diet annex disagree about group 20, preventing a defensible SPPR calculation. Its reported area can cover at most 0.049% of the Canary Current LME. This is an unsigned candidate review draft; the active selection remains EcoBase 118.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3"/>
        <w:gridCol w:w="7834"/>
      </w:tblGrid>
      <w:tr w:rsidR="00E25FD2" w14:paraId="2616BE78" w14:textId="77777777">
        <w:trPr>
          <w:cantSplit/>
          <w:tblHeader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5ECF0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9C027B" w14:textId="77777777" w:rsidR="00E25FD2" w:rsidRDefault="00000000">
            <w:pPr>
              <w:spacing w:after="40"/>
            </w:pPr>
            <w:r>
              <w:rPr>
                <w:b/>
                <w:sz w:val="21"/>
              </w:rPr>
              <w:t>Field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5ECF0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181628" w14:textId="77777777" w:rsidR="00E25FD2" w:rsidRDefault="00000000">
            <w:pPr>
              <w:spacing w:after="40"/>
            </w:pPr>
            <w:r>
              <w:rPr>
                <w:b/>
                <w:sz w:val="21"/>
              </w:rPr>
              <w:t>Entry</w:t>
            </w:r>
          </w:p>
        </w:tc>
      </w:tr>
      <w:tr w:rsidR="00E25FD2" w14:paraId="0215AFC0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95D570" w14:textId="77777777" w:rsidR="00E25FD2" w:rsidRDefault="00000000">
            <w:pPr>
              <w:spacing w:after="40"/>
            </w:pPr>
            <w:r>
              <w:rPr>
                <w:b/>
                <w:sz w:val="21"/>
              </w:rPr>
              <w:t>Region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2A0D57" w14:textId="77777777" w:rsidR="00E25FD2" w:rsidRDefault="00000000">
            <w:pPr>
              <w:spacing w:after="40"/>
            </w:pPr>
            <w:r>
              <w:rPr>
                <w:sz w:val="21"/>
              </w:rPr>
              <w:t>Canary Current | LME_027</w:t>
            </w:r>
          </w:p>
          <w:p w14:paraId="744EB2C5" w14:textId="77777777" w:rsidR="00E25FD2" w:rsidRDefault="00000000">
            <w:pPr>
              <w:spacing w:after="40"/>
            </w:pPr>
            <w:r>
              <w:rPr>
                <w:sz w:val="21"/>
              </w:rPr>
              <w:t>Candidate: Sine-Saloum estuary, Senegal.</w:t>
            </w:r>
          </w:p>
          <w:p w14:paraId="0A2D2CA0" w14:textId="77777777" w:rsidR="00E25FD2" w:rsidRDefault="00000000">
            <w:hyperlink r:id="rId6">
              <w:r>
                <w:rPr>
                  <w:color w:val="0563C1"/>
                  <w:sz w:val="21"/>
                  <w:u w:val="single"/>
                </w:rPr>
                <w:t>Regional workbook</w:t>
              </w:r>
            </w:hyperlink>
          </w:p>
        </w:tc>
      </w:tr>
      <w:tr w:rsidR="00E25FD2" w14:paraId="1E782FFB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040004" w14:textId="77777777" w:rsidR="00E25FD2" w:rsidRDefault="00000000">
            <w:pPr>
              <w:spacing w:after="40"/>
            </w:pPr>
            <w:r>
              <w:rPr>
                <w:b/>
                <w:sz w:val="21"/>
              </w:rPr>
              <w:t>Catch source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8153D3" w14:textId="77777777" w:rsidR="00E25FD2" w:rsidRDefault="00000000">
            <w:pPr>
              <w:spacing w:after="40"/>
            </w:pPr>
            <w:r>
              <w:rPr>
                <w:sz w:val="21"/>
              </w:rPr>
              <w:t>Sea Around Us; retained regional catch records 1950–2019. Reference: 2019 landings, excluding discards.</w:t>
            </w:r>
          </w:p>
          <w:p w14:paraId="5D79A33C" w14:textId="77777777" w:rsidR="00E25FD2" w:rsidRDefault="00000000">
            <w:hyperlink r:id="rId7">
              <w:r>
                <w:rPr>
                  <w:color w:val="0563C1"/>
                  <w:sz w:val="21"/>
                  <w:u w:val="single"/>
                </w:rPr>
                <w:t>Catch evidence</w:t>
              </w:r>
            </w:hyperlink>
          </w:p>
        </w:tc>
      </w:tr>
      <w:tr w:rsidR="00E25FD2" w14:paraId="41B235FA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D57B57" w14:textId="77777777" w:rsidR="00E25FD2" w:rsidRDefault="00000000">
            <w:pPr>
              <w:spacing w:after="40"/>
            </w:pPr>
            <w:r>
              <w:rPr>
                <w:b/>
                <w:sz w:val="21"/>
              </w:rPr>
              <w:t>Preferred source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E97333" w14:textId="77777777" w:rsidR="00E25FD2" w:rsidRDefault="00000000">
            <w:pPr>
              <w:spacing w:after="40"/>
            </w:pPr>
            <w:r>
              <w:rPr>
                <w:sz w:val="21"/>
              </w:rPr>
              <w:t>Villanueva, Maria Concepcion S. (2004). Biodiversité et relations trophiques dans quelques milieux estuariens et lagunaires de l’Afrique de l’Ouest : adaptations aux pressions environnementales. Doctoral thesis, Institut National Polytechnique de Toulouse / ENSAT. Source title page: defended 29 October 2004; a harvested catalogue date differs. No DOI located.</w:t>
            </w:r>
          </w:p>
          <w:p w14:paraId="29F54704" w14:textId="77777777" w:rsidR="00E25FD2" w:rsidRDefault="00000000">
            <w:hyperlink r:id="rId8" w:anchor="page=138">
              <w:r>
                <w:rPr>
                  <w:color w:val="0563C1"/>
                  <w:sz w:val="21"/>
                  <w:u w:val="single"/>
                </w:rPr>
                <w:t>Thesis PDF</w:t>
              </w:r>
            </w:hyperlink>
            <w:r>
              <w:t xml:space="preserve"> | </w:t>
            </w:r>
            <w:hyperlink r:id="rId9">
              <w:r>
                <w:rPr>
                  <w:color w:val="0563C1"/>
                  <w:sz w:val="21"/>
                  <w:u w:val="single"/>
                </w:rPr>
                <w:t>Source metadata</w:t>
              </w:r>
            </w:hyperlink>
            <w:r>
              <w:t xml:space="preserve"> | </w:t>
            </w:r>
            <w:hyperlink r:id="rId10">
              <w:r>
                <w:rPr>
                  <w:color w:val="0563C1"/>
                  <w:sz w:val="21"/>
                  <w:u w:val="single"/>
                </w:rPr>
                <w:t>Archimer record</w:t>
              </w:r>
            </w:hyperlink>
          </w:p>
        </w:tc>
      </w:tr>
      <w:tr w:rsidR="00E25FD2" w14:paraId="32685CD5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CD8345" w14:textId="77777777" w:rsidR="00E25FD2" w:rsidRDefault="00000000">
            <w:pPr>
              <w:spacing w:after="40"/>
            </w:pPr>
            <w:r>
              <w:rPr>
                <w:b/>
                <w:sz w:val="21"/>
              </w:rPr>
              <w:t>Other known articles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31EAE6" w14:textId="77777777" w:rsidR="00E25FD2" w:rsidRDefault="00000000">
            <w:pPr>
              <w:spacing w:after="40"/>
            </w:pPr>
            <w:r>
              <w:rPr>
                <w:sz w:val="21"/>
              </w:rPr>
              <w:t>Villanueva, Tito-de-Morais, Weigel and Moreau, An Ecopath model of the Sine-Saloum Delta Biosphere Reserve (Senegal), proceedings report cover 2004 / legal imprint 2005: a different 38-group preliminary version.</w:t>
            </w:r>
          </w:p>
          <w:p w14:paraId="4D0D44B5" w14:textId="77777777" w:rsidR="00E25FD2" w:rsidRDefault="00000000">
            <w:pPr>
              <w:spacing w:after="40"/>
            </w:pPr>
            <w:r>
              <w:rPr>
                <w:sz w:val="21"/>
              </w:rPr>
              <w:t>Villanueva, Diouf, Albaret and Moreau (2005), Complexity in trophic structure and stability in a modelled West African estuary, in Coastal Ecosystems of West-Africa, edited by J.-J. Symoens, pp. 15–26: a related 37-group release.</w:t>
            </w:r>
          </w:p>
          <w:p w14:paraId="1111B4B7" w14:textId="77777777" w:rsidR="00E25FD2" w:rsidRDefault="00000000">
            <w:pPr>
              <w:spacing w:after="40"/>
            </w:pPr>
            <w:r>
              <w:rPr>
                <w:sz w:val="21"/>
              </w:rPr>
              <w:t>Morissette et al. (2009), Northwest Africa food-web model, FCRR 17(2): same model lineage as selected EcoBase 118. Guénette et al. (2014), Banc d’Arguin and Mauritanian Shelf, PLOS ONE e94742: distinct shelf models.</w:t>
            </w:r>
          </w:p>
          <w:p w14:paraId="6F4E859A" w14:textId="77777777" w:rsidR="00E25FD2" w:rsidRDefault="00000000">
            <w:hyperlink r:id="rId11">
              <w:r>
                <w:rPr>
                  <w:color w:val="0563C1"/>
                  <w:sz w:val="21"/>
                  <w:u w:val="single"/>
                </w:rPr>
                <w:t>Supplied chapter</w:t>
              </w:r>
            </w:hyperlink>
            <w:r>
              <w:t xml:space="preserve"> | </w:t>
            </w:r>
            <w:hyperlink r:id="rId12">
              <w:r>
                <w:rPr>
                  <w:color w:val="0563C1"/>
                  <w:sz w:val="21"/>
                  <w:u w:val="single"/>
                </w:rPr>
                <w:t>2005 follow-up</w:t>
              </w:r>
            </w:hyperlink>
          </w:p>
        </w:tc>
      </w:tr>
      <w:tr w:rsidR="00E25FD2" w14:paraId="33C67E92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BE22D4" w14:textId="77777777" w:rsidR="00E25FD2" w:rsidRDefault="00000000">
            <w:pPr>
              <w:spacing w:after="40"/>
            </w:pPr>
            <w:r>
              <w:rPr>
                <w:b/>
                <w:sz w:val="21"/>
              </w:rPr>
              <w:t>Candidate model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4B1BD8" w14:textId="77777777" w:rsidR="00E25FD2" w:rsidRDefault="00000000">
            <w:pPr>
              <w:spacing w:after="40"/>
            </w:pPr>
            <w:r>
              <w:rPr>
                <w:sz w:val="21"/>
              </w:rPr>
              <w:t>27_Villanueva2004_SineSaloum</w:t>
            </w:r>
          </w:p>
          <w:p w14:paraId="19781ED7" w14:textId="77777777" w:rsidR="00E25FD2" w:rsidRDefault="00000000">
            <w:pPr>
              <w:spacing w:after="40"/>
            </w:pPr>
            <w:r>
              <w:rPr>
                <w:sz w:val="21"/>
              </w:rPr>
              <w:t>Preferred variant: thesis Table 6.5 / Annex II.A, Sine-Saloum, 1991–1992, 37 source groups. Related EcoBase accession 612 identifies this model lineage, but its official numerical input is unavailable. The local canonical representation is explicitly incomplete.</w:t>
            </w:r>
          </w:p>
          <w:p w14:paraId="3043CAC4" w14:textId="77777777" w:rsidR="00E25FD2" w:rsidRDefault="00000000">
            <w:hyperlink r:id="rId13">
              <w:r>
                <w:rPr>
                  <w:color w:val="0563C1"/>
                  <w:sz w:val="21"/>
                  <w:u w:val="single"/>
                </w:rPr>
                <w:t>Candidate folder</w:t>
              </w:r>
            </w:hyperlink>
            <w:r>
              <w:t xml:space="preserve"> | </w:t>
            </w:r>
            <w:hyperlink r:id="rId14" w:anchor="removed-extraction-evidence">
              <w:r>
                <w:rPr>
                  <w:color w:val="0563C1"/>
                  <w:sz w:val="21"/>
                  <w:u w:val="single"/>
                </w:rPr>
                <w:t>Canonical partial model</w:t>
              </w:r>
            </w:hyperlink>
            <w:r>
              <w:t xml:space="preserve"> | </w:t>
            </w:r>
            <w:hyperlink r:id="rId15">
              <w:r>
                <w:rPr>
                  <w:color w:val="0563C1"/>
                  <w:sz w:val="21"/>
                  <w:u w:val="single"/>
                </w:rPr>
                <w:t>Identity assessment</w:t>
              </w:r>
            </w:hyperlink>
          </w:p>
        </w:tc>
      </w:tr>
      <w:tr w:rsidR="00E25FD2" w14:paraId="6AF8CDC3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F277CF" w14:textId="77777777" w:rsidR="00E25FD2" w:rsidRDefault="00000000">
            <w:pPr>
              <w:spacing w:after="40"/>
            </w:pPr>
            <w:r>
              <w:rPr>
                <w:b/>
                <w:sz w:val="21"/>
              </w:rPr>
              <w:t>Other models from the same article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EB390F" w14:textId="77777777" w:rsidR="00E25FD2" w:rsidRDefault="00000000">
            <w:pPr>
              <w:spacing w:after="40"/>
            </w:pPr>
            <w:r>
              <w:rPr>
                <w:sz w:val="21"/>
              </w:rPr>
              <w:t>The thesis also models Gambia (41 groups, 2000–2002; Table 6.6), Ébrié Lagoon (42 groups, 1980–1981; Table 6.7), and Nokoué Lagoon (31 groups, 2000–2001; Table 6.8). These are separate ecosystem models and were not evaluated as Sine-Saloum replacements in this review.</w:t>
            </w:r>
          </w:p>
        </w:tc>
      </w:tr>
      <w:tr w:rsidR="00E25FD2" w14:paraId="2E95056C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FA9F75" w14:textId="77777777" w:rsidR="00E25FD2" w:rsidRDefault="00000000">
            <w:pPr>
              <w:spacing w:after="40"/>
            </w:pPr>
            <w:r>
              <w:rPr>
                <w:b/>
                <w:sz w:val="21"/>
              </w:rPr>
              <w:t>Selection rationale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C441D0" w14:textId="77777777" w:rsidR="00E25FD2" w:rsidRDefault="00000000">
            <w:pPr>
              <w:spacing w:after="40"/>
            </w:pPr>
            <w:r>
              <w:rPr>
                <w:sz w:val="21"/>
              </w:rPr>
              <w:t>Article – The researcher authorized the downloaded and documented thesis as the preferred source after the supplied chapter lacked a quantitative diet matrix.</w:t>
            </w:r>
          </w:p>
          <w:p w14:paraId="361DC17F" w14:textId="77777777" w:rsidR="00E25FD2" w:rsidRDefault="00000000">
            <w:pPr>
              <w:spacing w:after="40"/>
            </w:pPr>
            <w:r>
              <w:rPr>
                <w:sz w:val="21"/>
              </w:rPr>
              <w:t>Model – Review the thesis Sine-Saloum model as a regional alternative; its stated period and quantitative annex improve evidence. Geographic proximity does not establish suitability.</w:t>
            </w:r>
          </w:p>
        </w:tc>
      </w:tr>
      <w:tr w:rsidR="00E25FD2" w14:paraId="50659BF1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FDC35F" w14:textId="77777777" w:rsidR="00E25FD2" w:rsidRDefault="00000000">
            <w:pPr>
              <w:spacing w:after="40"/>
            </w:pPr>
            <w:r>
              <w:rPr>
                <w:b/>
                <w:sz w:val="21"/>
              </w:rPr>
              <w:lastRenderedPageBreak/>
              <w:t>Model extraction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3CE3C3" w14:textId="77777777" w:rsidR="00E25FD2" w:rsidRDefault="00000000">
            <w:pPr>
              <w:spacing w:after="40"/>
            </w:pPr>
            <w:r>
              <w:rPr>
                <w:sz w:val="21"/>
              </w:rPr>
              <w:t>Table 6.5 and the complete 37-prey × 34-consumer Annex II.A were extracted separately. The annex uses fractions despite its percent caption; consumer sums are 0.999–1.000 and are preserved.</w:t>
            </w:r>
          </w:p>
          <w:p w14:paraId="21FA77EC" w14:textId="77777777" w:rsidR="00E25FD2" w:rsidRDefault="00000000">
            <w:pPr>
              <w:spacing w:after="40"/>
            </w:pPr>
            <w:r>
              <w:rPr>
                <w:sz w:val="21"/>
              </w:rPr>
              <w:t>Group 27 labels refer to the same documented mullet pool. Group 20 is unresolved: the basic table names Epinephelus aeneus, but the annex names Hemichromis fasciatus; Table 3.3 separates those compartments. Canonical cells requiring that join remain unknown. GS, BA and routing are unreported; no defaults, normalization or numerical repair were applied.</w:t>
            </w:r>
          </w:p>
          <w:p w14:paraId="20D76889" w14:textId="77777777" w:rsidR="00E25FD2" w:rsidRDefault="00000000">
            <w:hyperlink r:id="rId16">
              <w:r>
                <w:rPr>
                  <w:color w:val="0563C1"/>
                  <w:sz w:val="21"/>
                  <w:u w:val="single"/>
                </w:rPr>
                <w:t>Full literal extraction</w:t>
              </w:r>
            </w:hyperlink>
            <w:r>
              <w:t xml:space="preserve"> | </w:t>
            </w:r>
            <w:hyperlink r:id="rId17">
              <w:r>
                <w:rPr>
                  <w:color w:val="0563C1"/>
                  <w:sz w:val="21"/>
                  <w:u w:val="single"/>
                </w:rPr>
                <w:t>Diet identity crosswalk</w:t>
              </w:r>
            </w:hyperlink>
            <w:r>
              <w:t xml:space="preserve"> | </w:t>
            </w:r>
            <w:hyperlink r:id="rId18">
              <w:r>
                <w:rPr>
                  <w:color w:val="0563C1"/>
                  <w:sz w:val="21"/>
                  <w:u w:val="single"/>
                </w:rPr>
                <w:t>Admission blocker</w:t>
              </w:r>
            </w:hyperlink>
          </w:p>
          <w:p w14:paraId="02D21468" w14:textId="77777777" w:rsidR="00E25FD2" w:rsidRDefault="00000000">
            <w:r>
              <w:t>Retained departures and evidence limits:</w:t>
            </w:r>
            <w:hyperlink r:id="rId19">
              <w:r>
                <w:rPr>
                  <w:color w:val="0563C1"/>
                  <w:u w:val="single"/>
                </w:rPr>
                <w:t>model notes</w:t>
              </w:r>
            </w:hyperlink>
          </w:p>
        </w:tc>
      </w:tr>
      <w:tr w:rsidR="00E25FD2" w14:paraId="69E81056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1C554D" w14:textId="77777777" w:rsidR="00E25FD2" w:rsidRDefault="00000000">
            <w:pPr>
              <w:spacing w:after="40"/>
            </w:pPr>
            <w:r>
              <w:rPr>
                <w:b/>
                <w:sz w:val="21"/>
              </w:rPr>
              <w:t>GE diagnostics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015945" w14:textId="77777777" w:rsidR="00E25FD2" w:rsidRDefault="00000000">
            <w:pPr>
              <w:spacing w:after="40"/>
            </w:pPr>
            <w:r>
              <w:rPr>
                <w:sz w:val="21"/>
              </w:rPr>
              <w:t>NOT_RUN — unresolved group 20 diet identity blocks source admission.</w:t>
            </w:r>
          </w:p>
          <w:p w14:paraId="4DCA6DEE" w14:textId="77777777" w:rsidR="00E25FD2" w:rsidRDefault="00000000">
            <w:pPr>
              <w:spacing w:after="40"/>
            </w:pPr>
            <w:r>
              <w:rPr>
                <w:sz w:val="21"/>
              </w:rPr>
              <w:t>Negative SPPR entries, rho_living, b and Detritus (37) SPPR cannot be determined. No GE matrix or coefficients are available.</w:t>
            </w:r>
          </w:p>
        </w:tc>
      </w:tr>
      <w:tr w:rsidR="00E25FD2" w14:paraId="080CAABB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C79B06" w14:textId="77777777" w:rsidR="00E25FD2" w:rsidRDefault="00000000">
            <w:pPr>
              <w:spacing w:after="40"/>
            </w:pPr>
            <w:r>
              <w:rPr>
                <w:b/>
                <w:sz w:val="21"/>
              </w:rPr>
              <w:t>TE diagnostics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92D83F" w14:textId="77777777" w:rsidR="00E25FD2" w:rsidRDefault="00000000">
            <w:pPr>
              <w:spacing w:after="40"/>
            </w:pPr>
            <w:r>
              <w:rPr>
                <w:sz w:val="21"/>
              </w:rPr>
              <w:t>NOT_RUN — the same source identity conflict blocks source admission.</w:t>
            </w:r>
          </w:p>
          <w:p w14:paraId="467EC306" w14:textId="77777777" w:rsidR="00E25FD2" w:rsidRDefault="00000000">
            <w:pPr>
              <w:spacing w:after="40"/>
            </w:pPr>
            <w:r>
              <w:rPr>
                <w:sz w:val="21"/>
              </w:rPr>
              <w:t>Negative SPPR entries, rho_living and Detritus (37) SPPR cannot be determined. No TE matrix or coefficients are available.</w:t>
            </w:r>
          </w:p>
        </w:tc>
      </w:tr>
      <w:tr w:rsidR="00E25FD2" w14:paraId="6CED7C06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FE6A79" w14:textId="77777777" w:rsidR="00E25FD2" w:rsidRDefault="00000000">
            <w:pPr>
              <w:spacing w:after="40"/>
            </w:pPr>
            <w:r>
              <w:rPr>
                <w:b/>
                <w:sz w:val="21"/>
              </w:rPr>
              <w:t>SPPR calculation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479A0C" w14:textId="77777777" w:rsidR="00E25FD2" w:rsidRDefault="00000000">
            <w:pPr>
              <w:spacing w:after="40"/>
            </w:pPr>
            <w:r>
              <w:rPr>
                <w:sz w:val="21"/>
              </w:rPr>
              <w:t>[Researcher calculation choices and notes]</w:t>
            </w:r>
          </w:p>
        </w:tc>
      </w:tr>
      <w:tr w:rsidR="00E25FD2" w14:paraId="7EE808C9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BBDED3" w14:textId="77777777" w:rsidR="00E25FD2" w:rsidRDefault="00000000">
            <w:pPr>
              <w:spacing w:after="40"/>
            </w:pPr>
            <w:r>
              <w:rPr>
                <w:b/>
                <w:sz w:val="21"/>
              </w:rPr>
              <w:t>Geographic fit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60441B" w14:textId="77777777" w:rsidR="00E25FD2" w:rsidRDefault="00000000">
            <w:pPr>
              <w:spacing w:after="40"/>
            </w:pPr>
            <w:r>
              <w:rPr>
                <w:sz w:val="21"/>
              </w:rPr>
              <w:t>A. Region covered by study: at most approximately 0.049% (reported-area upper bound).</w:t>
            </w:r>
          </w:p>
          <w:p w14:paraId="1721989A" w14:textId="77777777" w:rsidR="00E25FD2" w:rsidRDefault="00000000">
            <w:pPr>
              <w:spacing w:after="40"/>
            </w:pPr>
            <w:r>
              <w:rPr>
                <w:sz w:val="21"/>
              </w:rPr>
              <w:t>B. Study area covered by region: not determined; the model water boundary is ambiguous in the schematic and source bounds. Main channels lie within the target geometry.</w:t>
            </w:r>
          </w:p>
        </w:tc>
      </w:tr>
      <w:tr w:rsidR="00E25FD2" w14:paraId="428BA1ED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A5F3BE" w14:textId="77777777" w:rsidR="00E25FD2" w:rsidRDefault="00000000">
            <w:pPr>
              <w:spacing w:after="40"/>
            </w:pPr>
            <w:r>
              <w:rPr>
                <w:b/>
                <w:sz w:val="21"/>
              </w:rPr>
              <w:t>Temporal fit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848914" w14:textId="77777777" w:rsidR="00E25FD2" w:rsidRDefault="00000000">
            <w:pPr>
              <w:spacing w:after="40"/>
            </w:pPr>
            <w:r>
              <w:rPr>
                <w:sz w:val="21"/>
              </w:rPr>
              <w:t>The modeled period is 1991–1992; thesis field sampling also includes 1992–1993. The reference landings year 2019 is 27–28 years later. Fixed source catch/biomass mixtures across 1950–2019 are assumptions and cannot reconstruct annual estuarine or offshore food-web change.</w:t>
            </w:r>
          </w:p>
        </w:tc>
      </w:tr>
      <w:tr w:rsidR="00E25FD2" w14:paraId="41E4F49A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CFDCE4" w14:textId="77777777" w:rsidR="00E25FD2" w:rsidRDefault="00000000">
            <w:pPr>
              <w:spacing w:after="40"/>
            </w:pPr>
            <w:r>
              <w:rPr>
                <w:b/>
                <w:sz w:val="21"/>
              </w:rPr>
              <w:t>Other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59B780" w14:textId="77777777" w:rsidR="00E25FD2" w:rsidRDefault="00000000">
            <w:pPr>
              <w:spacing w:after="40"/>
            </w:pPr>
            <w:r>
              <w:rPr>
                <w:sz w:val="21"/>
              </w:rPr>
              <w:t>With Egestion is also NOT_RUN. No candidate GE/TE/Egestion regional PPR or PPR/NPP is available. Independent simple-chain PPR remains calculable from the regional taxon coefficients.</w:t>
            </w:r>
          </w:p>
          <w:p w14:paraId="72E16478" w14:textId="77777777" w:rsidR="00E25FD2" w:rsidRDefault="00000000">
            <w:pPr>
              <w:spacing w:after="40"/>
            </w:pPr>
            <w:r>
              <w:rPr>
                <w:sz w:val="21"/>
              </w:rPr>
              <w:t>The selected EcoBase 118 remains disqualified on 02/10/2026: “Reason – too strong living compartments recycling due to near-zero EE values (rho_living = 0.99).” The thesis is a distinct local model, but shared source lineage and model distinction do not establish independent observations or whole-LME representativeness.</w:t>
            </w:r>
          </w:p>
          <w:p w14:paraId="4BD83E90" w14:textId="77777777" w:rsidR="00E25FD2" w:rsidRDefault="00000000">
            <w:hyperlink r:id="rId20">
              <w:r>
                <w:rPr>
                  <w:color w:val="0563C1"/>
                  <w:sz w:val="21"/>
                  <w:u w:val="single"/>
                </w:rPr>
                <w:t>Direct diagnostic records</w:t>
              </w:r>
            </w:hyperlink>
            <w:r>
              <w:t xml:space="preserve"> | </w:t>
            </w:r>
            <w:hyperlink r:id="rId21">
              <w:r>
                <w:rPr>
                  <w:color w:val="0563C1"/>
                  <w:sz w:val="21"/>
                  <w:u w:val="single"/>
                </w:rPr>
                <w:t>Preserved signed review</w:t>
              </w:r>
            </w:hyperlink>
          </w:p>
        </w:tc>
      </w:tr>
      <w:tr w:rsidR="00E25FD2" w14:paraId="22535995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888D11" w14:textId="77777777" w:rsidR="00E25FD2" w:rsidRDefault="00000000">
            <w:pPr>
              <w:spacing w:after="40"/>
            </w:pPr>
            <w:r>
              <w:rPr>
                <w:b/>
                <w:sz w:val="21"/>
              </w:rPr>
              <w:t>Open issues and next action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9885D7" w14:textId="77777777" w:rsidR="00E25FD2" w:rsidRDefault="00E25FD2">
            <w:pPr>
              <w:spacing w:after="40"/>
            </w:pPr>
          </w:p>
        </w:tc>
      </w:tr>
      <w:tr w:rsidR="00E25FD2" w14:paraId="704E10FA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A05FC0" w14:textId="77777777" w:rsidR="00E25FD2" w:rsidRDefault="00000000">
            <w:pPr>
              <w:spacing w:after="40"/>
            </w:pPr>
            <w:r>
              <w:rPr>
                <w:b/>
                <w:sz w:val="21"/>
              </w:rPr>
              <w:t>Review and reproducibility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5AEDE8" w14:textId="55BE33A2" w:rsidR="00EA1C29" w:rsidRDefault="00EA1C29" w:rsidP="00EA1C29">
            <w:pPr>
              <w:spacing w:after="40"/>
              <w:rPr>
                <w:sz w:val="21"/>
              </w:rPr>
            </w:pPr>
            <w:r>
              <w:rPr>
                <w:sz w:val="21"/>
              </w:rPr>
              <w:t xml:space="preserve">Researcher name: Ido Carmel | review date: </w:t>
            </w:r>
            <w:r>
              <w:rPr>
                <w:sz w:val="21"/>
              </w:rPr>
              <w:t>08</w:t>
            </w:r>
            <w:r>
              <w:rPr>
                <w:sz w:val="21"/>
              </w:rPr>
              <w:t>/10/2026</w:t>
            </w:r>
          </w:p>
          <w:p w14:paraId="3765B792" w14:textId="77777777" w:rsidR="00EA1C29" w:rsidRDefault="00EA1C29" w:rsidP="00EA1C29">
            <w:pPr>
              <w:spacing w:after="40"/>
              <w:rPr>
                <w:sz w:val="21"/>
              </w:rPr>
            </w:pPr>
          </w:p>
          <w:p w14:paraId="54403128" w14:textId="77777777" w:rsidR="00EA1C29" w:rsidRDefault="00EA1C29" w:rsidP="00EA1C29">
            <w:pPr>
              <w:spacing w:after="40"/>
            </w:pPr>
            <w:r w:rsidRPr="000C5A17">
              <w:rPr>
                <w:b/>
                <w:bCs/>
                <w:sz w:val="21"/>
              </w:rPr>
              <w:t xml:space="preserve">MODEL </w:t>
            </w:r>
            <w:r>
              <w:rPr>
                <w:b/>
                <w:bCs/>
                <w:sz w:val="21"/>
              </w:rPr>
              <w:t>DISQUALIFIED</w:t>
            </w:r>
          </w:p>
          <w:p w14:paraId="0D86328D" w14:textId="321B75F6" w:rsidR="00E25FD2" w:rsidRDefault="00EA1C29" w:rsidP="00EA1C29">
            <w:pPr>
              <w:spacing w:after="40"/>
            </w:pPr>
            <w:r>
              <w:t xml:space="preserve">Reason – </w:t>
            </w:r>
            <w:r>
              <w:t>unrepresentative geographic fit =&gt; low taxa mapping confidence</w:t>
            </w:r>
          </w:p>
        </w:tc>
      </w:tr>
    </w:tbl>
    <w:p w14:paraId="7DEE4B24" w14:textId="77777777" w:rsidR="00E25FD2" w:rsidRDefault="00000000">
      <w:r>
        <w:br w:type="page"/>
      </w:r>
    </w:p>
    <w:p w14:paraId="39C59BE4" w14:textId="77777777" w:rsidR="00E25FD2" w:rsidRDefault="00000000">
      <w:pPr>
        <w:pStyle w:val="1"/>
      </w:pPr>
      <w:r>
        <w:lastRenderedPageBreak/>
        <w:t>Taxon mapping and coverage</w:t>
      </w:r>
    </w:p>
    <w:p w14:paraId="6CFA3E63" w14:textId="77777777" w:rsidR="00E25FD2" w:rsidRDefault="00000000">
      <w:r>
        <w:t>Reference: 2019 landings, excluding discards; all recorded taxon labels, including zero-landings rows. Candidate mappings below remain unadopted.</w:t>
      </w:r>
    </w:p>
    <w:p w14:paraId="57383D85" w14:textId="77777777" w:rsidR="00E25FD2" w:rsidRDefault="00000000">
      <w:r>
        <w:t>37 source groups; 512 catch taxa.</w:t>
      </w:r>
    </w:p>
    <w:p w14:paraId="239D0457" w14:textId="77777777" w:rsidR="00E25FD2" w:rsidRDefault="00000000">
      <w:r>
        <w:t>Simple-chain PPR totals 244,709,206 t C in 2019.</w:t>
      </w:r>
    </w:p>
    <w:p w14:paraId="59BC3C18" w14:textId="77777777" w:rsidR="00E25FD2" w:rsidRDefault="00000000">
      <w:r>
        <w:t>100 taxa have no saved classic coefficient; all have zero 2019 landings and contribute zero annual PPR. No positive-catch contribution is unknown.</w:t>
      </w:r>
    </w:p>
    <w:p w14:paraId="255A514B" w14:textId="77777777" w:rsidR="00E25FD2" w:rsidRDefault="00000000">
      <w:r>
        <w:t>Method: independent simple trophic chain using the saved regional taxon coefficients.</w:t>
      </w:r>
    </w:p>
    <w:p w14:paraId="14ED654B" w14:textId="77777777" w:rsidR="00E25FD2" w:rsidRDefault="00000000">
      <w:hyperlink r:id="rId22">
        <w:r>
          <w:rPr>
            <w:color w:val="0563C1"/>
            <w:sz w:val="21"/>
            <w:u w:val="single"/>
          </w:rPr>
          <w:t>Excel taxon appendix and descriptive Sources sheet</w:t>
        </w:r>
      </w:hyperlink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888"/>
        <w:gridCol w:w="1440"/>
        <w:gridCol w:w="2304"/>
        <w:gridCol w:w="2376"/>
      </w:tblGrid>
      <w:tr w:rsidR="00E25FD2" w14:paraId="2792CE9C" w14:textId="77777777">
        <w:trPr>
          <w:cantSplit/>
          <w:tblHeader/>
          <w:jc w:val="center"/>
        </w:trPr>
        <w:tc>
          <w:tcPr>
            <w:tcW w:w="388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5EC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53A6D0" w14:textId="77777777" w:rsidR="00E25FD2" w:rsidRDefault="00000000">
            <w:pPr>
              <w:spacing w:after="40"/>
            </w:pPr>
            <w:r>
              <w:rPr>
                <w:b/>
                <w:sz w:val="21"/>
              </w:rPr>
              <w:t>Overall confidence</w:t>
            </w:r>
          </w:p>
        </w:tc>
        <w:tc>
          <w:tcPr>
            <w:tcW w:w="144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5EC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337F17" w14:textId="77777777" w:rsidR="00E25FD2" w:rsidRDefault="00000000">
            <w:pPr>
              <w:spacing w:after="40"/>
            </w:pPr>
            <w:r>
              <w:rPr>
                <w:b/>
                <w:sz w:val="21"/>
              </w:rPr>
              <w:t>Taxa (n)</w:t>
            </w:r>
          </w:p>
        </w:tc>
        <w:tc>
          <w:tcPr>
            <w:tcW w:w="230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5EC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9F3CD7" w14:textId="77777777" w:rsidR="00E25FD2" w:rsidRDefault="00000000">
            <w:pPr>
              <w:spacing w:after="40"/>
            </w:pPr>
            <w:r>
              <w:rPr>
                <w:b/>
                <w:sz w:val="21"/>
              </w:rPr>
              <w:t>Catch (%)</w:t>
            </w:r>
          </w:p>
        </w:tc>
        <w:tc>
          <w:tcPr>
            <w:tcW w:w="2376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5EC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EDF9BE" w14:textId="77777777" w:rsidR="00E25FD2" w:rsidRDefault="00000000">
            <w:pPr>
              <w:spacing w:after="40"/>
            </w:pPr>
            <w:r>
              <w:rPr>
                <w:b/>
                <w:sz w:val="21"/>
              </w:rPr>
              <w:t>Simple-chain PPR (%)</w:t>
            </w:r>
          </w:p>
        </w:tc>
      </w:tr>
      <w:tr w:rsidR="00E25FD2" w14:paraId="34348DED" w14:textId="77777777">
        <w:trPr>
          <w:cantSplit/>
          <w:jc w:val="center"/>
        </w:trPr>
        <w:tc>
          <w:tcPr>
            <w:tcW w:w="388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0CEF51" w14:textId="77777777" w:rsidR="00E25FD2" w:rsidRDefault="00000000">
            <w:pPr>
              <w:spacing w:after="40"/>
            </w:pPr>
            <w:r>
              <w:rPr>
                <w:sz w:val="21"/>
              </w:rPr>
              <w:t>High</w:t>
            </w:r>
          </w:p>
        </w:tc>
        <w:tc>
          <w:tcPr>
            <w:tcW w:w="144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45DC8D" w14:textId="77777777" w:rsidR="00E25FD2" w:rsidRDefault="00000000">
            <w:pPr>
              <w:spacing w:after="40"/>
            </w:pPr>
            <w:r>
              <w:rPr>
                <w:sz w:val="21"/>
              </w:rPr>
              <w:t>71</w:t>
            </w:r>
          </w:p>
        </w:tc>
        <w:tc>
          <w:tcPr>
            <w:tcW w:w="230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2AFD2B" w14:textId="77777777" w:rsidR="00E25FD2" w:rsidRDefault="00000000">
            <w:pPr>
              <w:spacing w:after="40"/>
            </w:pPr>
            <w:r>
              <w:rPr>
                <w:sz w:val="21"/>
              </w:rPr>
              <w:t>19%</w:t>
            </w:r>
          </w:p>
        </w:tc>
        <w:tc>
          <w:tcPr>
            <w:tcW w:w="2376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3F1C7B" w14:textId="77777777" w:rsidR="00E25FD2" w:rsidRDefault="00000000">
            <w:pPr>
              <w:spacing w:after="40"/>
            </w:pPr>
            <w:r>
              <w:rPr>
                <w:sz w:val="21"/>
              </w:rPr>
              <w:t>9.2%</w:t>
            </w:r>
          </w:p>
        </w:tc>
      </w:tr>
      <w:tr w:rsidR="00E25FD2" w14:paraId="5D3E8514" w14:textId="77777777">
        <w:trPr>
          <w:cantSplit/>
          <w:jc w:val="center"/>
        </w:trPr>
        <w:tc>
          <w:tcPr>
            <w:tcW w:w="388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357EA9" w14:textId="77777777" w:rsidR="00E25FD2" w:rsidRDefault="00000000">
            <w:pPr>
              <w:spacing w:after="40"/>
            </w:pPr>
            <w:r>
              <w:rPr>
                <w:sz w:val="21"/>
              </w:rPr>
              <w:t>Medium</w:t>
            </w:r>
          </w:p>
        </w:tc>
        <w:tc>
          <w:tcPr>
            <w:tcW w:w="144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48F0C3" w14:textId="77777777" w:rsidR="00E25FD2" w:rsidRDefault="00000000">
            <w:pPr>
              <w:spacing w:after="40"/>
            </w:pPr>
            <w:r>
              <w:rPr>
                <w:sz w:val="21"/>
              </w:rPr>
              <w:t>23</w:t>
            </w:r>
          </w:p>
        </w:tc>
        <w:tc>
          <w:tcPr>
            <w:tcW w:w="230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493ABC" w14:textId="77777777" w:rsidR="00E25FD2" w:rsidRDefault="00000000">
            <w:pPr>
              <w:spacing w:after="40"/>
            </w:pPr>
            <w:r>
              <w:rPr>
                <w:sz w:val="21"/>
              </w:rPr>
              <w:t>0.66%</w:t>
            </w:r>
          </w:p>
        </w:tc>
        <w:tc>
          <w:tcPr>
            <w:tcW w:w="2376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5F2C98" w14:textId="77777777" w:rsidR="00E25FD2" w:rsidRDefault="00000000">
            <w:pPr>
              <w:spacing w:after="40"/>
            </w:pPr>
            <w:r>
              <w:rPr>
                <w:sz w:val="21"/>
              </w:rPr>
              <w:t>1.4%</w:t>
            </w:r>
          </w:p>
        </w:tc>
      </w:tr>
      <w:tr w:rsidR="00E25FD2" w14:paraId="3B08BDD5" w14:textId="77777777">
        <w:trPr>
          <w:cantSplit/>
          <w:jc w:val="center"/>
        </w:trPr>
        <w:tc>
          <w:tcPr>
            <w:tcW w:w="388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844381" w14:textId="77777777" w:rsidR="00E25FD2" w:rsidRDefault="00000000">
            <w:pPr>
              <w:spacing w:after="40"/>
            </w:pPr>
            <w:r>
              <w:rPr>
                <w:sz w:val="21"/>
              </w:rPr>
              <w:t>Low</w:t>
            </w:r>
          </w:p>
        </w:tc>
        <w:tc>
          <w:tcPr>
            <w:tcW w:w="144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1E93A3" w14:textId="77777777" w:rsidR="00E25FD2" w:rsidRDefault="00000000">
            <w:pPr>
              <w:spacing w:after="40"/>
            </w:pPr>
            <w:r>
              <w:rPr>
                <w:sz w:val="21"/>
              </w:rPr>
              <w:t>4</w:t>
            </w:r>
          </w:p>
        </w:tc>
        <w:tc>
          <w:tcPr>
            <w:tcW w:w="230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12C403" w14:textId="77777777" w:rsidR="00E25FD2" w:rsidRDefault="00000000">
            <w:pPr>
              <w:spacing w:after="40"/>
            </w:pPr>
            <w:r>
              <w:rPr>
                <w:sz w:val="21"/>
              </w:rPr>
              <w:t>0.19%</w:t>
            </w:r>
          </w:p>
        </w:tc>
        <w:tc>
          <w:tcPr>
            <w:tcW w:w="2376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F65ADE" w14:textId="77777777" w:rsidR="00E25FD2" w:rsidRDefault="00000000">
            <w:pPr>
              <w:spacing w:after="40"/>
            </w:pPr>
            <w:r>
              <w:rPr>
                <w:sz w:val="21"/>
              </w:rPr>
              <w:t>0.49%</w:t>
            </w:r>
          </w:p>
        </w:tc>
      </w:tr>
      <w:tr w:rsidR="00E25FD2" w14:paraId="042290E6" w14:textId="77777777">
        <w:trPr>
          <w:cantSplit/>
          <w:jc w:val="center"/>
        </w:trPr>
        <w:tc>
          <w:tcPr>
            <w:tcW w:w="388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675D48" w14:textId="77777777" w:rsidR="00E25FD2" w:rsidRDefault="00000000">
            <w:pPr>
              <w:spacing w:after="40"/>
            </w:pPr>
            <w:r>
              <w:rPr>
                <w:sz w:val="21"/>
              </w:rPr>
              <w:t>Very low</w:t>
            </w:r>
          </w:p>
        </w:tc>
        <w:tc>
          <w:tcPr>
            <w:tcW w:w="144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72893E" w14:textId="77777777" w:rsidR="00E25FD2" w:rsidRDefault="00000000">
            <w:pPr>
              <w:spacing w:after="40"/>
            </w:pPr>
            <w:r>
              <w:rPr>
                <w:sz w:val="21"/>
              </w:rPr>
              <w:t>414</w:t>
            </w:r>
          </w:p>
        </w:tc>
        <w:tc>
          <w:tcPr>
            <w:tcW w:w="230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07F38D" w14:textId="77777777" w:rsidR="00E25FD2" w:rsidRDefault="00000000">
            <w:pPr>
              <w:spacing w:after="40"/>
            </w:pPr>
            <w:r>
              <w:rPr>
                <w:sz w:val="21"/>
              </w:rPr>
              <w:t>80%</w:t>
            </w:r>
          </w:p>
        </w:tc>
        <w:tc>
          <w:tcPr>
            <w:tcW w:w="2376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1754F1" w14:textId="77777777" w:rsidR="00E25FD2" w:rsidRDefault="00000000">
            <w:pPr>
              <w:spacing w:after="40"/>
            </w:pPr>
            <w:r>
              <w:rPr>
                <w:sz w:val="21"/>
              </w:rPr>
              <w:t>89%</w:t>
            </w:r>
          </w:p>
        </w:tc>
      </w:tr>
      <w:tr w:rsidR="00E25FD2" w14:paraId="7DC45177" w14:textId="77777777">
        <w:trPr>
          <w:cantSplit/>
          <w:jc w:val="center"/>
        </w:trPr>
        <w:tc>
          <w:tcPr>
            <w:tcW w:w="388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1D7809" w14:textId="77777777" w:rsidR="00E25FD2" w:rsidRDefault="00000000">
            <w:pPr>
              <w:spacing w:after="40"/>
            </w:pPr>
            <w:r>
              <w:rPr>
                <w:sz w:val="21"/>
              </w:rPr>
              <w:t>Unresolved</w:t>
            </w:r>
          </w:p>
        </w:tc>
        <w:tc>
          <w:tcPr>
            <w:tcW w:w="144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92B8C1" w14:textId="77777777" w:rsidR="00E25FD2" w:rsidRDefault="00000000">
            <w:pPr>
              <w:spacing w:after="40"/>
            </w:pPr>
            <w:r>
              <w:rPr>
                <w:sz w:val="21"/>
              </w:rPr>
              <w:t>0</w:t>
            </w:r>
          </w:p>
        </w:tc>
        <w:tc>
          <w:tcPr>
            <w:tcW w:w="230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C68287" w14:textId="77777777" w:rsidR="00E25FD2" w:rsidRDefault="00000000">
            <w:pPr>
              <w:spacing w:after="40"/>
            </w:pPr>
            <w:r>
              <w:rPr>
                <w:sz w:val="21"/>
              </w:rPr>
              <w:t>0%</w:t>
            </w:r>
          </w:p>
        </w:tc>
        <w:tc>
          <w:tcPr>
            <w:tcW w:w="2376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8A5AA5" w14:textId="77777777" w:rsidR="00E25FD2" w:rsidRDefault="00000000">
            <w:pPr>
              <w:spacing w:after="40"/>
            </w:pPr>
            <w:r>
              <w:rPr>
                <w:sz w:val="21"/>
              </w:rPr>
              <w:t>0%</w:t>
            </w:r>
          </w:p>
        </w:tc>
      </w:tr>
    </w:tbl>
    <w:p w14:paraId="6F764727" w14:textId="77777777" w:rsidR="00E25FD2" w:rsidRDefault="00000000">
      <w:r>
        <w:t>Overall confidence uses the weaker required membership or allocation component.</w:t>
      </w:r>
    </w:p>
    <w:p w14:paraId="27948600" w14:textId="77777777" w:rsidR="00E25FD2" w:rsidRDefault="00000000">
      <w:pPr>
        <w:pStyle w:val="21"/>
      </w:pPr>
      <w:r>
        <w:t>Group assignment rules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624"/>
        <w:gridCol w:w="1512"/>
        <w:gridCol w:w="1872"/>
      </w:tblGrid>
      <w:tr w:rsidR="00E25FD2" w14:paraId="1ECB6FD1" w14:textId="77777777">
        <w:trPr>
          <w:cantSplit/>
          <w:tblHeader/>
          <w:jc w:val="center"/>
        </w:trPr>
        <w:tc>
          <w:tcPr>
            <w:tcW w:w="662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5EC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E577F5" w14:textId="77777777" w:rsidR="00E25FD2" w:rsidRDefault="00000000">
            <w:pPr>
              <w:spacing w:after="40"/>
            </w:pPr>
            <w:r>
              <w:rPr>
                <w:b/>
                <w:sz w:val="21"/>
              </w:rPr>
              <w:t>Plain-language rule</w:t>
            </w:r>
          </w:p>
        </w:tc>
        <w:tc>
          <w:tcPr>
            <w:tcW w:w="151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5EC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37B033" w14:textId="77777777" w:rsidR="00E25FD2" w:rsidRDefault="00000000">
            <w:pPr>
              <w:spacing w:after="40"/>
            </w:pPr>
            <w:r>
              <w:rPr>
                <w:b/>
                <w:sz w:val="21"/>
              </w:rPr>
              <w:t>Confidence</w:t>
            </w:r>
          </w:p>
        </w:tc>
        <w:tc>
          <w:tcPr>
            <w:tcW w:w="187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5EC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6F3EDD" w14:textId="77777777" w:rsidR="00E25FD2" w:rsidRDefault="00000000">
            <w:pPr>
              <w:spacing w:after="40"/>
            </w:pPr>
            <w:r>
              <w:rPr>
                <w:b/>
                <w:sz w:val="21"/>
              </w:rPr>
              <w:t>PPR percentage</w:t>
            </w:r>
          </w:p>
        </w:tc>
      </w:tr>
      <w:tr w:rsidR="00E25FD2" w14:paraId="063A3717" w14:textId="77777777">
        <w:trPr>
          <w:cantSplit/>
          <w:jc w:val="center"/>
        </w:trPr>
        <w:tc>
          <w:tcPr>
            <w:tcW w:w="662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8D5BFF" w14:textId="77777777" w:rsidR="00E25FD2" w:rsidRDefault="00000000">
            <w:pPr>
              <w:spacing w:after="40"/>
            </w:pPr>
            <w:r>
              <w:rPr>
                <w:sz w:val="21"/>
              </w:rPr>
              <w:t>The closest represented ecological or taxonomic analogue is used for an unrepresented taxon, with the actual mismatch disclosed.</w:t>
            </w:r>
          </w:p>
        </w:tc>
        <w:tc>
          <w:tcPr>
            <w:tcW w:w="151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0F32E2" w14:textId="77777777" w:rsidR="00E25FD2" w:rsidRDefault="00000000">
            <w:pPr>
              <w:spacing w:after="40"/>
            </w:pPr>
            <w:r>
              <w:rPr>
                <w:sz w:val="21"/>
              </w:rPr>
              <w:t>Very low</w:t>
            </w:r>
          </w:p>
        </w:tc>
        <w:tc>
          <w:tcPr>
            <w:tcW w:w="187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1FDBA5" w14:textId="77777777" w:rsidR="00E25FD2" w:rsidRDefault="00000000">
            <w:pPr>
              <w:spacing w:after="40"/>
            </w:pPr>
            <w:r>
              <w:rPr>
                <w:sz w:val="21"/>
              </w:rPr>
              <w:t>78%</w:t>
            </w:r>
          </w:p>
        </w:tc>
      </w:tr>
      <w:tr w:rsidR="00E25FD2" w14:paraId="1B0D3FFC" w14:textId="77777777">
        <w:trPr>
          <w:cantSplit/>
          <w:jc w:val="center"/>
        </w:trPr>
        <w:tc>
          <w:tcPr>
            <w:tcW w:w="662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602149" w14:textId="77777777" w:rsidR="00E25FD2" w:rsidRDefault="00000000">
            <w:pPr>
              <w:spacing w:after="40"/>
            </w:pPr>
            <w:r>
              <w:rPr>
                <w:sz w:val="21"/>
              </w:rPr>
              <w:t>A broad catch label is approximated by a recorded set of source pools because its composition or containment is unknown.</w:t>
            </w:r>
          </w:p>
        </w:tc>
        <w:tc>
          <w:tcPr>
            <w:tcW w:w="151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E99C46" w14:textId="77777777" w:rsidR="00E25FD2" w:rsidRDefault="00000000">
            <w:pPr>
              <w:spacing w:after="40"/>
            </w:pPr>
            <w:r>
              <w:rPr>
                <w:sz w:val="21"/>
              </w:rPr>
              <w:t>Very low</w:t>
            </w:r>
          </w:p>
        </w:tc>
        <w:tc>
          <w:tcPr>
            <w:tcW w:w="187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1D1075" w14:textId="77777777" w:rsidR="00E25FD2" w:rsidRDefault="00000000">
            <w:pPr>
              <w:spacing w:after="40"/>
            </w:pPr>
            <w:r>
              <w:rPr>
                <w:sz w:val="21"/>
              </w:rPr>
              <w:t>11%</w:t>
            </w:r>
          </w:p>
        </w:tc>
      </w:tr>
      <w:tr w:rsidR="00E25FD2" w14:paraId="72B4EDD9" w14:textId="77777777">
        <w:trPr>
          <w:cantSplit/>
          <w:jc w:val="center"/>
        </w:trPr>
        <w:tc>
          <w:tcPr>
            <w:tcW w:w="662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5C541A" w14:textId="77777777" w:rsidR="00E25FD2" w:rsidRDefault="00000000">
            <w:pPr>
              <w:spacing w:after="40"/>
            </w:pPr>
            <w:r>
              <w:rPr>
                <w:sz w:val="21"/>
              </w:rPr>
              <w:t>Species is explicitly assigned by the Sine-Saloum source membership table or is the exact model principal species.</w:t>
            </w:r>
          </w:p>
        </w:tc>
        <w:tc>
          <w:tcPr>
            <w:tcW w:w="151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135411" w14:textId="77777777" w:rsidR="00E25FD2" w:rsidRDefault="00000000">
            <w:pPr>
              <w:spacing w:after="40"/>
            </w:pPr>
            <w:r>
              <w:rPr>
                <w:sz w:val="21"/>
              </w:rPr>
              <w:t>High</w:t>
            </w:r>
          </w:p>
        </w:tc>
        <w:tc>
          <w:tcPr>
            <w:tcW w:w="187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8CFC39" w14:textId="77777777" w:rsidR="00E25FD2" w:rsidRDefault="00000000">
            <w:pPr>
              <w:spacing w:after="40"/>
            </w:pPr>
            <w:r>
              <w:rPr>
                <w:sz w:val="21"/>
              </w:rPr>
              <w:t>7.1%</w:t>
            </w:r>
          </w:p>
        </w:tc>
      </w:tr>
      <w:tr w:rsidR="00E25FD2" w14:paraId="78438F7D" w14:textId="77777777">
        <w:trPr>
          <w:cantSplit/>
          <w:jc w:val="center"/>
        </w:trPr>
        <w:tc>
          <w:tcPr>
            <w:tcW w:w="662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158130" w14:textId="77777777" w:rsidR="00E25FD2" w:rsidRDefault="00000000">
            <w:pPr>
              <w:spacing w:after="40"/>
            </w:pPr>
            <w:r>
              <w:rPr>
                <w:sz w:val="21"/>
              </w:rPr>
              <w:t>The catch taxon fits an explicitly documented generic source group, with its taxonomic reporting scope verified.</w:t>
            </w:r>
          </w:p>
        </w:tc>
        <w:tc>
          <w:tcPr>
            <w:tcW w:w="151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09E2E2" w14:textId="77777777" w:rsidR="00E25FD2" w:rsidRDefault="00000000">
            <w:pPr>
              <w:spacing w:after="40"/>
            </w:pPr>
            <w:r>
              <w:rPr>
                <w:sz w:val="21"/>
              </w:rPr>
              <w:t>High</w:t>
            </w:r>
          </w:p>
        </w:tc>
        <w:tc>
          <w:tcPr>
            <w:tcW w:w="187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51C6C7" w14:textId="77777777" w:rsidR="00E25FD2" w:rsidRDefault="00000000">
            <w:pPr>
              <w:spacing w:after="40"/>
            </w:pPr>
            <w:r>
              <w:rPr>
                <w:sz w:val="21"/>
              </w:rPr>
              <w:t>1.6%</w:t>
            </w:r>
          </w:p>
        </w:tc>
      </w:tr>
      <w:tr w:rsidR="00E25FD2" w14:paraId="5A915C0F" w14:textId="77777777">
        <w:trPr>
          <w:cantSplit/>
          <w:jc w:val="center"/>
        </w:trPr>
        <w:tc>
          <w:tcPr>
            <w:tcW w:w="662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E4AE63" w14:textId="77777777" w:rsidR="00E25FD2" w:rsidRDefault="00000000">
            <w:pPr>
              <w:spacing w:after="40"/>
            </w:pPr>
            <w:r>
              <w:rPr>
                <w:sz w:val="21"/>
              </w:rPr>
              <w:t>An unlisted relative is added to a documented pooled group on taxonomic evidence; membership remains an assumption.</w:t>
            </w:r>
          </w:p>
        </w:tc>
        <w:tc>
          <w:tcPr>
            <w:tcW w:w="151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02EF19" w14:textId="77777777" w:rsidR="00E25FD2" w:rsidRDefault="00000000">
            <w:pPr>
              <w:spacing w:after="40"/>
            </w:pPr>
            <w:r>
              <w:rPr>
                <w:sz w:val="21"/>
              </w:rPr>
              <w:t>Medium</w:t>
            </w:r>
          </w:p>
        </w:tc>
        <w:tc>
          <w:tcPr>
            <w:tcW w:w="187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9B5179" w14:textId="77777777" w:rsidR="00E25FD2" w:rsidRDefault="00000000">
            <w:pPr>
              <w:spacing w:after="40"/>
            </w:pPr>
            <w:r>
              <w:rPr>
                <w:sz w:val="21"/>
              </w:rPr>
              <w:t>1.3%</w:t>
            </w:r>
          </w:p>
        </w:tc>
      </w:tr>
      <w:tr w:rsidR="00E25FD2" w14:paraId="4AE5EC84" w14:textId="77777777">
        <w:trPr>
          <w:cantSplit/>
          <w:jc w:val="center"/>
        </w:trPr>
        <w:tc>
          <w:tcPr>
            <w:tcW w:w="662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8581C5" w14:textId="77777777" w:rsidR="00E25FD2" w:rsidRDefault="00000000">
            <w:pPr>
              <w:spacing w:after="40"/>
            </w:pPr>
            <w:r>
              <w:rPr>
                <w:sz w:val="21"/>
              </w:rPr>
              <w:t>A source membership or compartment-identity conflict weakens an otherwise supported assignment.</w:t>
            </w:r>
          </w:p>
        </w:tc>
        <w:tc>
          <w:tcPr>
            <w:tcW w:w="151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D01FA2" w14:textId="77777777" w:rsidR="00E25FD2" w:rsidRDefault="00000000">
            <w:pPr>
              <w:spacing w:after="40"/>
            </w:pPr>
            <w:r>
              <w:rPr>
                <w:sz w:val="21"/>
              </w:rPr>
              <w:t>Low</w:t>
            </w:r>
          </w:p>
        </w:tc>
        <w:tc>
          <w:tcPr>
            <w:tcW w:w="187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5A651D" w14:textId="77777777" w:rsidR="00E25FD2" w:rsidRDefault="00000000">
            <w:pPr>
              <w:spacing w:after="40"/>
            </w:pPr>
            <w:r>
              <w:rPr>
                <w:sz w:val="21"/>
              </w:rPr>
              <w:t>0.49%</w:t>
            </w:r>
          </w:p>
        </w:tc>
      </w:tr>
      <w:tr w:rsidR="00E25FD2" w14:paraId="0C71835F" w14:textId="77777777">
        <w:trPr>
          <w:cantSplit/>
          <w:jc w:val="center"/>
        </w:trPr>
        <w:tc>
          <w:tcPr>
            <w:tcW w:w="662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AF5BD7" w14:textId="77777777" w:rsidR="00E25FD2" w:rsidRDefault="00000000">
            <w:pPr>
              <w:spacing w:after="40"/>
            </w:pPr>
            <w:r>
              <w:rPr>
                <w:sz w:val="21"/>
              </w:rPr>
              <w:t>An authoritative synonym or historical spelling links the catch taxon to an explicitly listed source member.</w:t>
            </w:r>
          </w:p>
        </w:tc>
        <w:tc>
          <w:tcPr>
            <w:tcW w:w="151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6349C7" w14:textId="77777777" w:rsidR="00E25FD2" w:rsidRDefault="00000000">
            <w:pPr>
              <w:spacing w:after="40"/>
            </w:pPr>
            <w:r>
              <w:rPr>
                <w:sz w:val="21"/>
              </w:rPr>
              <w:t>High</w:t>
            </w:r>
          </w:p>
        </w:tc>
        <w:tc>
          <w:tcPr>
            <w:tcW w:w="187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124F1A" w14:textId="77777777" w:rsidR="00E25FD2" w:rsidRDefault="00000000">
            <w:pPr>
              <w:spacing w:after="40"/>
            </w:pPr>
            <w:r>
              <w:rPr>
                <w:sz w:val="21"/>
              </w:rPr>
              <w:t>0.47%</w:t>
            </w:r>
          </w:p>
        </w:tc>
      </w:tr>
      <w:tr w:rsidR="00E25FD2" w14:paraId="1AD0AB4D" w14:textId="77777777">
        <w:trPr>
          <w:cantSplit/>
          <w:jc w:val="center"/>
        </w:trPr>
        <w:tc>
          <w:tcPr>
            <w:tcW w:w="662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C98EB4" w14:textId="77777777" w:rsidR="00E25FD2" w:rsidRDefault="00000000">
            <w:pPr>
              <w:spacing w:after="40"/>
            </w:pPr>
            <w:r>
              <w:rPr>
                <w:sz w:val="21"/>
              </w:rPr>
              <w:t>Taxonomy and source pool definitions support an inferred candidate set whose composition remains assumed.</w:t>
            </w:r>
          </w:p>
        </w:tc>
        <w:tc>
          <w:tcPr>
            <w:tcW w:w="151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747C43" w14:textId="77777777" w:rsidR="00E25FD2" w:rsidRDefault="00000000">
            <w:pPr>
              <w:spacing w:after="40"/>
            </w:pPr>
            <w:r>
              <w:rPr>
                <w:sz w:val="21"/>
              </w:rPr>
              <w:t>Medium</w:t>
            </w:r>
          </w:p>
        </w:tc>
        <w:tc>
          <w:tcPr>
            <w:tcW w:w="187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CFED55" w14:textId="77777777" w:rsidR="00E25FD2" w:rsidRDefault="00000000">
            <w:pPr>
              <w:spacing w:after="40"/>
            </w:pPr>
            <w:r>
              <w:rPr>
                <w:sz w:val="21"/>
              </w:rPr>
              <w:t>0.11%</w:t>
            </w:r>
          </w:p>
        </w:tc>
      </w:tr>
    </w:tbl>
    <w:p w14:paraId="52485F25" w14:textId="77777777" w:rsidR="00E25FD2" w:rsidRDefault="00000000">
      <w:r>
        <w:t xml:space="preserve">Thesis Tables 3.3 and 6.5, group-definition prose and verified taxonomy. </w:t>
      </w:r>
      <w:hyperlink r:id="rId23">
        <w:r>
          <w:rPr>
            <w:color w:val="0563C1"/>
            <w:sz w:val="21"/>
            <w:u w:val="single"/>
          </w:rPr>
          <w:t>Full candidate audit</w:t>
        </w:r>
      </w:hyperlink>
    </w:p>
    <w:p w14:paraId="3D76F4CB" w14:textId="77777777" w:rsidR="00E25FD2" w:rsidRDefault="00000000">
      <w:pPr>
        <w:pStyle w:val="21"/>
      </w:pPr>
      <w:r>
        <w:lastRenderedPageBreak/>
        <w:t>Allocation weight rules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624"/>
        <w:gridCol w:w="1512"/>
        <w:gridCol w:w="1872"/>
      </w:tblGrid>
      <w:tr w:rsidR="00E25FD2" w14:paraId="65C96819" w14:textId="77777777">
        <w:trPr>
          <w:cantSplit/>
          <w:tblHeader/>
          <w:jc w:val="center"/>
        </w:trPr>
        <w:tc>
          <w:tcPr>
            <w:tcW w:w="662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5EC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99EE3C" w14:textId="77777777" w:rsidR="00E25FD2" w:rsidRDefault="00000000">
            <w:pPr>
              <w:spacing w:after="40"/>
            </w:pPr>
            <w:r>
              <w:rPr>
                <w:b/>
                <w:sz w:val="21"/>
              </w:rPr>
              <w:t>Plain-language rule</w:t>
            </w:r>
          </w:p>
        </w:tc>
        <w:tc>
          <w:tcPr>
            <w:tcW w:w="151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5EC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552926" w14:textId="77777777" w:rsidR="00E25FD2" w:rsidRDefault="00000000">
            <w:pPr>
              <w:spacing w:after="40"/>
            </w:pPr>
            <w:r>
              <w:rPr>
                <w:b/>
                <w:sz w:val="21"/>
              </w:rPr>
              <w:t>Confidence</w:t>
            </w:r>
          </w:p>
        </w:tc>
        <w:tc>
          <w:tcPr>
            <w:tcW w:w="187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5EC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1856DE" w14:textId="77777777" w:rsidR="00E25FD2" w:rsidRDefault="00000000">
            <w:pPr>
              <w:spacing w:after="40"/>
            </w:pPr>
            <w:r>
              <w:rPr>
                <w:b/>
                <w:sz w:val="21"/>
              </w:rPr>
              <w:t>PPR percentage</w:t>
            </w:r>
          </w:p>
        </w:tc>
      </w:tr>
      <w:tr w:rsidR="00E25FD2" w14:paraId="477181F1" w14:textId="77777777">
        <w:trPr>
          <w:cantSplit/>
          <w:jc w:val="center"/>
        </w:trPr>
        <w:tc>
          <w:tcPr>
            <w:tcW w:w="662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AB8509" w14:textId="77777777" w:rsidR="00E25FD2" w:rsidRDefault="00000000">
            <w:pPr>
              <w:spacing w:after="40"/>
            </w:pPr>
            <w:r>
              <w:rPr>
                <w:sz w:val="21"/>
              </w:rPr>
              <w:t>The complete catch taxon is assigned to one model group; no numerical split is needed.</w:t>
            </w:r>
          </w:p>
        </w:tc>
        <w:tc>
          <w:tcPr>
            <w:tcW w:w="151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1B9113" w14:textId="77777777" w:rsidR="00E25FD2" w:rsidRDefault="00000000">
            <w:pPr>
              <w:spacing w:after="40"/>
            </w:pPr>
            <w:r>
              <w:rPr>
                <w:sz w:val="21"/>
              </w:rPr>
              <w:t>High</w:t>
            </w:r>
          </w:p>
        </w:tc>
        <w:tc>
          <w:tcPr>
            <w:tcW w:w="187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994179" w14:textId="77777777" w:rsidR="00E25FD2" w:rsidRDefault="00000000">
            <w:pPr>
              <w:spacing w:after="40"/>
            </w:pPr>
            <w:r>
              <w:rPr>
                <w:sz w:val="21"/>
              </w:rPr>
              <w:t>89%</w:t>
            </w:r>
          </w:p>
        </w:tc>
      </w:tr>
      <w:tr w:rsidR="00E25FD2" w14:paraId="626B89B3" w14:textId="77777777">
        <w:trPr>
          <w:cantSplit/>
          <w:jc w:val="center"/>
        </w:trPr>
        <w:tc>
          <w:tcPr>
            <w:tcW w:w="662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92E339" w14:textId="77777777" w:rsidR="00E25FD2" w:rsidRDefault="00000000">
            <w:pPr>
              <w:spacing w:after="40"/>
            </w:pPr>
            <w:r>
              <w:rPr>
                <w:sz w:val="21"/>
              </w:rPr>
              <w:t>Complete thesis-model biomass proportions replace incomplete source catch values, assuming representative composition and catchability.</w:t>
            </w:r>
          </w:p>
        </w:tc>
        <w:tc>
          <w:tcPr>
            <w:tcW w:w="151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23F864" w14:textId="77777777" w:rsidR="00E25FD2" w:rsidRDefault="00000000">
            <w:pPr>
              <w:spacing w:after="40"/>
            </w:pPr>
            <w:r>
              <w:rPr>
                <w:sz w:val="21"/>
              </w:rPr>
              <w:t>Medium</w:t>
            </w:r>
          </w:p>
        </w:tc>
        <w:tc>
          <w:tcPr>
            <w:tcW w:w="187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FD09BF" w14:textId="77777777" w:rsidR="00E25FD2" w:rsidRDefault="00000000">
            <w:pPr>
              <w:spacing w:after="40"/>
            </w:pPr>
            <w:r>
              <w:rPr>
                <w:sz w:val="21"/>
              </w:rPr>
              <w:t>10%</w:t>
            </w:r>
          </w:p>
        </w:tc>
      </w:tr>
      <w:tr w:rsidR="00E25FD2" w14:paraId="01A63463" w14:textId="77777777">
        <w:trPr>
          <w:cantSplit/>
          <w:jc w:val="center"/>
        </w:trPr>
        <w:tc>
          <w:tcPr>
            <w:tcW w:w="662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8E8366" w14:textId="77777777" w:rsidR="00E25FD2" w:rsidRDefault="00000000">
            <w:pPr>
              <w:spacing w:after="40"/>
            </w:pPr>
            <w:r>
              <w:rPr>
                <w:sz w:val="21"/>
              </w:rPr>
              <w:t>Weights use the candidate groups’ thesis-model catch proportions, assumed applicable to the regional catch and constant over years.</w:t>
            </w:r>
          </w:p>
        </w:tc>
        <w:tc>
          <w:tcPr>
            <w:tcW w:w="151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53C50F" w14:textId="77777777" w:rsidR="00E25FD2" w:rsidRDefault="00000000">
            <w:pPr>
              <w:spacing w:after="40"/>
            </w:pPr>
            <w:r>
              <w:rPr>
                <w:sz w:val="21"/>
              </w:rPr>
              <w:t>Medium</w:t>
            </w:r>
          </w:p>
        </w:tc>
        <w:tc>
          <w:tcPr>
            <w:tcW w:w="187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BBA497" w14:textId="77777777" w:rsidR="00E25FD2" w:rsidRDefault="00000000">
            <w:pPr>
              <w:spacing w:after="40"/>
            </w:pPr>
            <w:r>
              <w:rPr>
                <w:sz w:val="21"/>
              </w:rPr>
              <w:t>0.70%</w:t>
            </w:r>
          </w:p>
        </w:tc>
      </w:tr>
    </w:tbl>
    <w:p w14:paraId="60347349" w14:textId="77777777" w:rsidR="00E25FD2" w:rsidRDefault="00000000">
      <w:r>
        <w:t xml:space="preserve">Source catch proportions, then complete biomass where usable, supply assumed mixtures. One-group assignments need no split. Fixed historical mixtures are transferred to 2019 landings. </w:t>
      </w:r>
      <w:hyperlink r:id="rId24">
        <w:r>
          <w:rPr>
            <w:color w:val="0563C1"/>
            <w:sz w:val="21"/>
            <w:u w:val="single"/>
          </w:rPr>
          <w:t>Candidate allocation evidence</w:t>
        </w:r>
      </w:hyperlink>
    </w:p>
    <w:p w14:paraId="57378FA3" w14:textId="77777777" w:rsidR="00E25FD2" w:rsidRDefault="00000000">
      <w:r>
        <w:t>Each percentage is the independent simple-chain PPR associated with taxa using that rule.</w:t>
      </w:r>
    </w:p>
    <w:p w14:paraId="098E3689" w14:textId="77777777" w:rsidR="00E25FD2" w:rsidRDefault="00000000">
      <w:r>
        <w:t>Unresolved taxa: none. 414 Very low decisions account for 80% of catch and 89% of simple-chain PPR. High assignment coverage does not establish valid SPPR or whole-LME ecological fit.</w:t>
      </w:r>
    </w:p>
    <w:p w14:paraId="2FCEE2D6" w14:textId="77777777" w:rsidR="00E25FD2" w:rsidRDefault="00000000">
      <w:pPr>
        <w:pStyle w:val="21"/>
      </w:pPr>
      <w:r>
        <w:t>Very low decisions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98"/>
        <w:gridCol w:w="6710"/>
      </w:tblGrid>
      <w:tr w:rsidR="00E25FD2" w14:paraId="0805CBCA" w14:textId="77777777">
        <w:trPr>
          <w:cantSplit/>
          <w:tblHeader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5EC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E10702" w14:textId="77777777" w:rsidR="00E25FD2" w:rsidRDefault="00000000">
            <w:pPr>
              <w:spacing w:after="40"/>
            </w:pPr>
            <w:r>
              <w:rPr>
                <w:b/>
                <w:sz w:val="21"/>
              </w:rPr>
              <w:t>Affected taxa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5EC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D69459" w14:textId="77777777" w:rsidR="00E25FD2" w:rsidRDefault="00000000">
            <w:pPr>
              <w:spacing w:after="40"/>
            </w:pPr>
            <w:r>
              <w:rPr>
                <w:b/>
                <w:sz w:val="21"/>
              </w:rPr>
              <w:t>Why confidence is very low</w:t>
            </w:r>
          </w:p>
        </w:tc>
      </w:tr>
      <w:tr w:rsidR="00E25FD2" w14:paraId="03A4832C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67B35C" w14:textId="77777777" w:rsidR="00E25FD2" w:rsidRDefault="00000000">
            <w:pPr>
              <w:spacing w:after="40"/>
            </w:pPr>
            <w:r>
              <w:rPr>
                <w:sz w:val="21"/>
              </w:rPr>
              <w:t>Actinopterygii; Marine finfishes not identified; Marine fishes not identified; Perciformes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58CC5A" w14:textId="77777777" w:rsidR="00E25FD2" w:rsidRDefault="00000000">
            <w:pPr>
              <w:spacing w:after="40"/>
            </w:pPr>
            <w:r>
              <w:rPr>
                <w:sz w:val="21"/>
              </w:rPr>
              <w:t>Broad bony-fish composition is unknown across named and residual estuarine fish pools; whole-LME unidentified catch is approximated by the source assemblage.</w:t>
            </w:r>
          </w:p>
        </w:tc>
      </w:tr>
      <w:tr w:rsidR="00E25FD2" w14:paraId="10F70D4B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48E6BB" w14:textId="77777777" w:rsidR="00E25FD2" w:rsidRDefault="00000000">
            <w:pPr>
              <w:spacing w:after="40"/>
            </w:pPr>
            <w:r>
              <w:rPr>
                <w:sz w:val="21"/>
              </w:rPr>
              <w:t>Alectis ciliaris; Campogramma glaycos; Decapterus; Decapterus macarellus; Elagatis bipinnulata; Pseudocaranx dentex; Scyris alexandrina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C8732B" w14:textId="77777777" w:rsidR="00E25FD2" w:rsidRDefault="00000000">
            <w:pPr>
              <w:spacing w:after="40"/>
            </w:pPr>
            <w:r>
              <w:rPr>
                <w:sz w:val="21"/>
              </w:rPr>
              <w:t>Unlisted jack/scad taxa use the source Carangidae pool as a taxonomic analogue; their ecology and actual source membership remain uncertain.</w:t>
            </w:r>
          </w:p>
        </w:tc>
      </w:tr>
      <w:tr w:rsidR="00E25FD2" w14:paraId="0D1D29EB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C5B376" w14:textId="77777777" w:rsidR="00E25FD2" w:rsidRDefault="00000000">
            <w:pPr>
              <w:spacing w:after="40"/>
            </w:pPr>
            <w:r>
              <w:rPr>
                <w:sz w:val="21"/>
              </w:rPr>
              <w:t>Selene dorsalis; Seriola dumerili; Seriola rivoliana; Trachurus; Trachurus mediterraneus; Trachurus picturatus; Trachurus trachurus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829F10" w14:textId="77777777" w:rsidR="00E25FD2" w:rsidRDefault="00000000">
            <w:pPr>
              <w:spacing w:after="40"/>
            </w:pPr>
            <w:r>
              <w:rPr>
                <w:sz w:val="21"/>
              </w:rPr>
              <w:t>Unlisted jack/scad taxa use the source Carangidae pool as a taxonomic analogue; their ecology and actual source membership remain uncertain.</w:t>
            </w:r>
          </w:p>
        </w:tc>
      </w:tr>
      <w:tr w:rsidR="00E25FD2" w14:paraId="73F05500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DDCEA6" w14:textId="77777777" w:rsidR="00E25FD2" w:rsidRDefault="00000000">
            <w:pPr>
              <w:spacing w:after="40"/>
            </w:pPr>
            <w:r>
              <w:rPr>
                <w:sz w:val="21"/>
              </w:rPr>
              <w:t>Trachurus trecae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4D8B94" w14:textId="77777777" w:rsidR="00E25FD2" w:rsidRDefault="00000000">
            <w:pPr>
              <w:spacing w:after="40"/>
            </w:pPr>
            <w:r>
              <w:rPr>
                <w:sz w:val="21"/>
              </w:rPr>
              <w:t>Unlisted jack/scad taxa use the source Carangidae pool as a taxonomic analogue; their ecology and actual source membership remain uncertain.</w:t>
            </w:r>
          </w:p>
        </w:tc>
      </w:tr>
      <w:tr w:rsidR="00E25FD2" w14:paraId="34E7E691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F9CF98" w14:textId="77777777" w:rsidR="00E25FD2" w:rsidRDefault="00000000">
            <w:pPr>
              <w:spacing w:after="40"/>
            </w:pPr>
            <w:r>
              <w:rPr>
                <w:sz w:val="21"/>
              </w:rPr>
              <w:t>Ablennes hians; Acanthocybium solandri; Alepisaurus ferox; Antimora rostrata; Argentina sphyraena; Auxis; Auxis rochei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9DEF08" w14:textId="77777777" w:rsidR="00E25FD2" w:rsidRDefault="00000000">
            <w:pPr>
              <w:spacing w:after="40"/>
            </w:pPr>
            <w:r>
              <w:rPr>
                <w:sz w:val="21"/>
              </w:rPr>
              <w:t>Unrepresented pelagic and bathypelagic fishes use the predatory barracuda pool; habitat, taxonomy and trophic specialization differ.</w:t>
            </w:r>
          </w:p>
        </w:tc>
      </w:tr>
      <w:tr w:rsidR="00E25FD2" w14:paraId="100F54C9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85084A" w14:textId="77777777" w:rsidR="00E25FD2" w:rsidRDefault="00000000">
            <w:pPr>
              <w:spacing w:after="40"/>
            </w:pPr>
            <w:r>
              <w:rPr>
                <w:sz w:val="21"/>
              </w:rPr>
              <w:t>Auxis thazard; Belone belone; Belonidae; Brama brama; Bramidae; Coryphaena; Coryphaena hippurus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9BE0E3" w14:textId="77777777" w:rsidR="00E25FD2" w:rsidRDefault="00000000">
            <w:pPr>
              <w:spacing w:after="40"/>
            </w:pPr>
            <w:r>
              <w:rPr>
                <w:sz w:val="21"/>
              </w:rPr>
              <w:t>Unrepresented pelagic and bathypelagic fishes use the predatory barracuda pool; habitat, taxonomy and trophic specialization differ.</w:t>
            </w:r>
          </w:p>
        </w:tc>
      </w:tr>
      <w:tr w:rsidR="00E25FD2" w14:paraId="5D24C9D8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346149" w14:textId="77777777" w:rsidR="00E25FD2" w:rsidRDefault="00000000">
            <w:pPr>
              <w:spacing w:after="40"/>
            </w:pPr>
            <w:r>
              <w:rPr>
                <w:sz w:val="21"/>
              </w:rPr>
              <w:lastRenderedPageBreak/>
              <w:t>Dicentrarchus punctatus; Diplodus bellottii; Echeneidae; Euthynnus alletteratus; Hoplostethus atlanticus; Istiophoridae; Istiophorus albicans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85052F" w14:textId="77777777" w:rsidR="00E25FD2" w:rsidRDefault="00000000">
            <w:pPr>
              <w:spacing w:after="40"/>
            </w:pPr>
            <w:r>
              <w:rPr>
                <w:sz w:val="21"/>
              </w:rPr>
              <w:t>Unrepresented pelagic and bathypelagic fishes use the predatory barracuda pool; habitat, taxonomy and trophic specialization differ.</w:t>
            </w:r>
          </w:p>
        </w:tc>
      </w:tr>
      <w:tr w:rsidR="00E25FD2" w14:paraId="19735900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60415A" w14:textId="77777777" w:rsidR="00E25FD2" w:rsidRDefault="00000000">
            <w:pPr>
              <w:spacing w:after="40"/>
            </w:pPr>
            <w:r>
              <w:rPr>
                <w:sz w:val="21"/>
              </w:rPr>
              <w:t>Kajikia albida; Katsuwonus pelamis; Lagocephalus laevigatus; Lampris guttatus; Makaira nigricans; Megalops atlanticus; Mora moro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B80A62" w14:textId="77777777" w:rsidR="00E25FD2" w:rsidRDefault="00000000">
            <w:pPr>
              <w:spacing w:after="40"/>
            </w:pPr>
            <w:r>
              <w:rPr>
                <w:sz w:val="21"/>
              </w:rPr>
              <w:t>Unrepresented pelagic and bathypelagic fishes use the predatory barracuda pool; habitat, taxonomy and trophic specialization differ.</w:t>
            </w:r>
          </w:p>
        </w:tc>
      </w:tr>
      <w:tr w:rsidR="00E25FD2" w14:paraId="2D054222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2A112A" w14:textId="77777777" w:rsidR="00E25FD2" w:rsidRDefault="00000000">
            <w:pPr>
              <w:spacing w:after="40"/>
            </w:pPr>
            <w:r>
              <w:rPr>
                <w:sz w:val="21"/>
              </w:rPr>
              <w:t>Orcynopsis unicolor; Pomatomus saltatrix; Rachycentridae; Rachycentron canadum; Sarda; Sarda sarda; Scomber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E172FD" w14:textId="77777777" w:rsidR="00E25FD2" w:rsidRDefault="00000000">
            <w:pPr>
              <w:spacing w:after="40"/>
            </w:pPr>
            <w:r>
              <w:rPr>
                <w:sz w:val="21"/>
              </w:rPr>
              <w:t>Unrepresented pelagic and bathypelagic fishes use the predatory barracuda pool; habitat, taxonomy and trophic specialization differ.</w:t>
            </w:r>
          </w:p>
        </w:tc>
      </w:tr>
      <w:tr w:rsidR="00E25FD2" w14:paraId="795A5780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C6CD3F" w14:textId="77777777" w:rsidR="00E25FD2" w:rsidRDefault="00000000">
            <w:pPr>
              <w:spacing w:after="40"/>
            </w:pPr>
            <w:r>
              <w:rPr>
                <w:sz w:val="21"/>
              </w:rPr>
              <w:t>Scomber colias; Scomber scombrus; Scomberesox saurus; Scombridae; Scombroidei; Tetrapturus belone; Tetrapturus pfluegeri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BCBAE3" w14:textId="77777777" w:rsidR="00E25FD2" w:rsidRDefault="00000000">
            <w:pPr>
              <w:spacing w:after="40"/>
            </w:pPr>
            <w:r>
              <w:rPr>
                <w:sz w:val="21"/>
              </w:rPr>
              <w:t>Unrepresented pelagic and bathypelagic fishes use the predatory barracuda pool; habitat, taxonomy and trophic specialization differ.</w:t>
            </w:r>
          </w:p>
        </w:tc>
      </w:tr>
      <w:tr w:rsidR="00E25FD2" w14:paraId="514F89E1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DBBCD1" w14:textId="77777777" w:rsidR="00E25FD2" w:rsidRDefault="00000000">
            <w:pPr>
              <w:spacing w:after="40"/>
            </w:pPr>
            <w:r>
              <w:rPr>
                <w:sz w:val="21"/>
              </w:rPr>
              <w:t>Thunnus; Thunnus alalunga; Thunnus albacares; Thunnus obesus; Thunnus thynnus; Trachichthyidae; Trachyrincus scabrus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E76662" w14:textId="77777777" w:rsidR="00E25FD2" w:rsidRDefault="00000000">
            <w:pPr>
              <w:spacing w:after="40"/>
            </w:pPr>
            <w:r>
              <w:rPr>
                <w:sz w:val="21"/>
              </w:rPr>
              <w:t>Unrepresented pelagic and bathypelagic fishes use the predatory barracuda pool; habitat, taxonomy and trophic specialization differ.</w:t>
            </w:r>
          </w:p>
        </w:tc>
      </w:tr>
      <w:tr w:rsidR="00E25FD2" w14:paraId="6439C41B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695321" w14:textId="77777777" w:rsidR="00E25FD2" w:rsidRDefault="00000000">
            <w:pPr>
              <w:spacing w:after="40"/>
            </w:pPr>
            <w:r>
              <w:rPr>
                <w:sz w:val="21"/>
              </w:rPr>
              <w:t>Xiphias gladius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A70363" w14:textId="77777777" w:rsidR="00E25FD2" w:rsidRDefault="00000000">
            <w:pPr>
              <w:spacing w:after="40"/>
            </w:pPr>
            <w:r>
              <w:rPr>
                <w:sz w:val="21"/>
              </w:rPr>
              <w:t>Unrepresented pelagic and bathypelagic fishes use the predatory barracuda pool; habitat, taxonomy and trophic specialization differ.</w:t>
            </w:r>
          </w:p>
        </w:tc>
      </w:tr>
      <w:tr w:rsidR="00E25FD2" w14:paraId="7BADC652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25232B" w14:textId="77777777" w:rsidR="00E25FD2" w:rsidRDefault="00000000">
            <w:pPr>
              <w:spacing w:after="40"/>
            </w:pPr>
            <w:r>
              <w:rPr>
                <w:sz w:val="21"/>
              </w:rPr>
              <w:t>Alosa; Atherina presbyter; Atherinidae; Engraulidae; Engraulis encrasicolus; Myctophidae; Sardina pilchardus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C2D68E" w14:textId="77777777" w:rsidR="00E25FD2" w:rsidRDefault="00000000">
            <w:pPr>
              <w:spacing w:after="40"/>
            </w:pPr>
            <w:r>
              <w:rPr>
                <w:sz w:val="21"/>
              </w:rPr>
              <w:t>Unrepresented small pelagics use the source Sardinella pool as a schooling-fish analogue; taxonomy and sometimes habitat differ.</w:t>
            </w:r>
          </w:p>
        </w:tc>
      </w:tr>
      <w:tr w:rsidR="00E25FD2" w14:paraId="091CACAD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9E3598" w14:textId="77777777" w:rsidR="00E25FD2" w:rsidRDefault="00000000">
            <w:pPr>
              <w:spacing w:after="40"/>
            </w:pPr>
            <w:r>
              <w:rPr>
                <w:sz w:val="21"/>
              </w:rPr>
              <w:t>Aluterus; Aluterus monoceros; Anguilla anguilla; Anguilliformes; Anthias anthias; Apsilus fuscus; Balistes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7AE128" w14:textId="77777777" w:rsidR="00E25FD2" w:rsidRDefault="00000000">
            <w:pPr>
              <w:spacing w:after="40"/>
            </w:pPr>
            <w:r>
              <w:rPr>
                <w:sz w:val="21"/>
              </w:rPr>
              <w:t>Unrepresented demersal, reef and benthopelagic fishes use the coastal grunt pool; family, depth, habitat and feeding specialization can differ.</w:t>
            </w:r>
          </w:p>
        </w:tc>
      </w:tr>
      <w:tr w:rsidR="00E25FD2" w14:paraId="6B70CD83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1926F7" w14:textId="77777777" w:rsidR="00E25FD2" w:rsidRDefault="00000000">
            <w:pPr>
              <w:spacing w:after="40"/>
            </w:pPr>
            <w:r>
              <w:rPr>
                <w:sz w:val="21"/>
              </w:rPr>
              <w:t>Balistes capriscus; Balistidae; Berycidae; Beryx; Beryx decadactylus; Beryx splendens; Bodianus scrofa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F89B75" w14:textId="77777777" w:rsidR="00E25FD2" w:rsidRDefault="00000000">
            <w:pPr>
              <w:spacing w:after="40"/>
            </w:pPr>
            <w:r>
              <w:rPr>
                <w:sz w:val="21"/>
              </w:rPr>
              <w:t>Unrepresented demersal, reef and benthopelagic fishes use the coastal grunt pool; family, depth, habitat and feeding specialization can differ.</w:t>
            </w:r>
          </w:p>
        </w:tc>
      </w:tr>
      <w:tr w:rsidR="00E25FD2" w14:paraId="1D90FE4E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891E03" w14:textId="77777777" w:rsidR="00E25FD2" w:rsidRDefault="00000000">
            <w:pPr>
              <w:spacing w:after="40"/>
            </w:pPr>
            <w:r>
              <w:rPr>
                <w:sz w:val="21"/>
              </w:rPr>
              <w:t>Boops boops; Branchiostegus; Brotula; Brotula barbata; Capros aper; Centracanthus cirrus; Centrolophidae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514A01" w14:textId="77777777" w:rsidR="00E25FD2" w:rsidRDefault="00000000">
            <w:pPr>
              <w:spacing w:after="40"/>
            </w:pPr>
            <w:r>
              <w:rPr>
                <w:sz w:val="21"/>
              </w:rPr>
              <w:t>Unrepresented demersal, reef and benthopelagic fishes use the coastal grunt pool; family, depth, habitat and feeding specialization can differ.</w:t>
            </w:r>
          </w:p>
        </w:tc>
      </w:tr>
      <w:tr w:rsidR="00E25FD2" w14:paraId="505FC2A7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78A610" w14:textId="77777777" w:rsidR="00E25FD2" w:rsidRDefault="00000000">
            <w:pPr>
              <w:spacing w:after="40"/>
            </w:pPr>
            <w:r>
              <w:rPr>
                <w:sz w:val="21"/>
              </w:rPr>
              <w:t>Chelidonichthys lastoviza; Chelidonichthys lucerna; Chromis limbata; Conger conger; Congridae; Coris julis; Dentex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87A8B3" w14:textId="77777777" w:rsidR="00E25FD2" w:rsidRDefault="00000000">
            <w:pPr>
              <w:spacing w:after="40"/>
            </w:pPr>
            <w:r>
              <w:rPr>
                <w:sz w:val="21"/>
              </w:rPr>
              <w:t>Unrepresented demersal, reef and benthopelagic fishes use the coastal grunt pool; family, depth, habitat and feeding specialization can differ.</w:t>
            </w:r>
          </w:p>
        </w:tc>
      </w:tr>
      <w:tr w:rsidR="00E25FD2" w14:paraId="072CD940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BB6287" w14:textId="77777777" w:rsidR="00E25FD2" w:rsidRDefault="00000000">
            <w:pPr>
              <w:spacing w:after="40"/>
            </w:pPr>
            <w:r>
              <w:rPr>
                <w:sz w:val="21"/>
              </w:rPr>
              <w:lastRenderedPageBreak/>
              <w:t>Dentex angolensis; Dentex dentex; Dentex gibbosus; Dentex macrophthalmus; Dentex maroccanus; Dicentrarchus; Dicentrarchus labrax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BF9110" w14:textId="77777777" w:rsidR="00E25FD2" w:rsidRDefault="00000000">
            <w:pPr>
              <w:spacing w:after="40"/>
            </w:pPr>
            <w:r>
              <w:rPr>
                <w:sz w:val="21"/>
              </w:rPr>
              <w:t>Unrepresented demersal, reef and benthopelagic fishes use the coastal grunt pool; family, depth, habitat and feeding specialization can differ.</w:t>
            </w:r>
          </w:p>
        </w:tc>
      </w:tr>
      <w:tr w:rsidR="00E25FD2" w14:paraId="1E602E59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9715D5" w14:textId="77777777" w:rsidR="00E25FD2" w:rsidRDefault="00000000">
            <w:pPr>
              <w:spacing w:after="40"/>
            </w:pPr>
            <w:r>
              <w:rPr>
                <w:sz w:val="21"/>
              </w:rPr>
              <w:t>Diplodus; Diplodus annularis; Diplodus cervinus; Diplodus puntazzo; Diplodus sargus; Diplodus vulgaris; Echelus myrus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2D8550" w14:textId="77777777" w:rsidR="00E25FD2" w:rsidRDefault="00000000">
            <w:pPr>
              <w:spacing w:after="40"/>
            </w:pPr>
            <w:r>
              <w:rPr>
                <w:sz w:val="21"/>
              </w:rPr>
              <w:t>Unrepresented demersal, reef and benthopelagic fishes use the coastal grunt pool; family, depth, habitat and feeding specialization can differ.</w:t>
            </w:r>
          </w:p>
        </w:tc>
      </w:tr>
      <w:tr w:rsidR="00E25FD2" w14:paraId="60426CA0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DECF77" w14:textId="77777777" w:rsidR="00E25FD2" w:rsidRDefault="00000000">
            <w:pPr>
              <w:spacing w:after="40"/>
            </w:pPr>
            <w:r>
              <w:rPr>
                <w:sz w:val="21"/>
              </w:rPr>
              <w:t>Epigonus telescopus; Fistularia tabacaria; Fistulariidae; Gadidae; Gadiformes; Gephyroberyx darwinii; Gymnothorax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C9FED9" w14:textId="77777777" w:rsidR="00E25FD2" w:rsidRDefault="00000000">
            <w:pPr>
              <w:spacing w:after="40"/>
            </w:pPr>
            <w:r>
              <w:rPr>
                <w:sz w:val="21"/>
              </w:rPr>
              <w:t>Unrepresented demersal, reef and benthopelagic fishes use the coastal grunt pool; family, depth, habitat and feeding specialization can differ.</w:t>
            </w:r>
          </w:p>
        </w:tc>
      </w:tr>
      <w:tr w:rsidR="00E25FD2" w14:paraId="70A247A7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4E0CE4" w14:textId="77777777" w:rsidR="00E25FD2" w:rsidRDefault="00000000">
            <w:pPr>
              <w:spacing w:after="40"/>
            </w:pPr>
            <w:r>
              <w:rPr>
                <w:sz w:val="21"/>
              </w:rPr>
              <w:t>Gymnothorax maderensis; Gymnothorax polygonius; Gymnothorax unicolor; Halobatrachus didactylus; Helicolenus dactylopterus; Heteropriacanthus cruentatus; Labridae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51792C" w14:textId="77777777" w:rsidR="00E25FD2" w:rsidRDefault="00000000">
            <w:pPr>
              <w:spacing w:after="40"/>
            </w:pPr>
            <w:r>
              <w:rPr>
                <w:sz w:val="21"/>
              </w:rPr>
              <w:t>Unrepresented demersal, reef and benthopelagic fishes use the coastal grunt pool; family, depth, habitat and feeding specialization can differ.</w:t>
            </w:r>
          </w:p>
        </w:tc>
      </w:tr>
      <w:tr w:rsidR="00E25FD2" w14:paraId="319A811D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A3B420" w14:textId="77777777" w:rsidR="00E25FD2" w:rsidRDefault="00000000">
            <w:pPr>
              <w:spacing w:after="40"/>
            </w:pPr>
            <w:r>
              <w:rPr>
                <w:sz w:val="21"/>
              </w:rPr>
              <w:t>Labrus; Lethrinus atlanticus; Lithognathus mormyrus; Lophiidae; Lophius; Lophius budegassa; Lophius vaillanti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41FD2D" w14:textId="77777777" w:rsidR="00E25FD2" w:rsidRDefault="00000000">
            <w:pPr>
              <w:spacing w:after="40"/>
            </w:pPr>
            <w:r>
              <w:rPr>
                <w:sz w:val="21"/>
              </w:rPr>
              <w:t>Unrepresented demersal, reef and benthopelagic fishes use the coastal grunt pool; family, depth, habitat and feeding specialization can differ.</w:t>
            </w:r>
          </w:p>
        </w:tc>
      </w:tr>
      <w:tr w:rsidR="00E25FD2" w14:paraId="3A62F156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58003E" w14:textId="77777777" w:rsidR="00E25FD2" w:rsidRDefault="00000000">
            <w:pPr>
              <w:spacing w:after="40"/>
            </w:pPr>
            <w:r>
              <w:rPr>
                <w:sz w:val="21"/>
              </w:rPr>
              <w:t>Lutjanidae; Lutjanus; Lutjanus agennes; Macroramphosus scolopax; Merlucciidae; Merluccius; Merluccius merluccius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0E01AC" w14:textId="77777777" w:rsidR="00E25FD2" w:rsidRDefault="00000000">
            <w:pPr>
              <w:spacing w:after="40"/>
            </w:pPr>
            <w:r>
              <w:rPr>
                <w:sz w:val="21"/>
              </w:rPr>
              <w:t>Unrepresented demersal, reef and benthopelagic fishes use the coastal grunt pool; family, depth, habitat and feeding specialization can differ.</w:t>
            </w:r>
          </w:p>
        </w:tc>
      </w:tr>
      <w:tr w:rsidR="00E25FD2" w14:paraId="6FBBE5C7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D13F85" w14:textId="77777777" w:rsidR="00E25FD2" w:rsidRDefault="00000000">
            <w:pPr>
              <w:spacing w:after="40"/>
            </w:pPr>
            <w:r>
              <w:rPr>
                <w:sz w:val="21"/>
              </w:rPr>
              <w:t>Merluccius polli; Merluccius senegalensis; Micromesistius poutassou; Monacanthidae; Moronidae; Mullidae; Mullus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7E8B88" w14:textId="77777777" w:rsidR="00E25FD2" w:rsidRDefault="00000000">
            <w:pPr>
              <w:spacing w:after="40"/>
            </w:pPr>
            <w:r>
              <w:rPr>
                <w:sz w:val="21"/>
              </w:rPr>
              <w:t>Unrepresented demersal, reef and benthopelagic fishes use the coastal grunt pool; family, depth, habitat and feeding specialization can differ.</w:t>
            </w:r>
          </w:p>
        </w:tc>
      </w:tr>
      <w:tr w:rsidR="00E25FD2" w14:paraId="76D6AFAB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6AF4F6" w14:textId="77777777" w:rsidR="00E25FD2" w:rsidRDefault="00000000">
            <w:pPr>
              <w:spacing w:after="40"/>
            </w:pPr>
            <w:r>
              <w:rPr>
                <w:sz w:val="21"/>
              </w:rPr>
              <w:t>Mullus barbatus; Mullus surmuletus; Muraena augusti; Muraena helena; Muraenidae; Oblada melanurus; Ophidiidae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4449FA" w14:textId="77777777" w:rsidR="00E25FD2" w:rsidRDefault="00000000">
            <w:pPr>
              <w:spacing w:after="40"/>
            </w:pPr>
            <w:r>
              <w:rPr>
                <w:sz w:val="21"/>
              </w:rPr>
              <w:t>Unrepresented demersal, reef and benthopelagic fishes use the coastal grunt pool; family, depth, habitat and feeding specialization can differ.</w:t>
            </w:r>
          </w:p>
        </w:tc>
      </w:tr>
      <w:tr w:rsidR="00E25FD2" w14:paraId="7D7678F7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1E27A3" w14:textId="77777777" w:rsidR="00E25FD2" w:rsidRDefault="00000000">
            <w:pPr>
              <w:spacing w:after="40"/>
            </w:pPr>
            <w:r>
              <w:rPr>
                <w:sz w:val="21"/>
              </w:rPr>
              <w:t>Pagellus; Pagellus acarne; Pagellus bellottii; Pagellus bogaraveo; Pagellus erythrinus; Pagrus; Pagrus africanus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E35D14" w14:textId="77777777" w:rsidR="00E25FD2" w:rsidRDefault="00000000">
            <w:pPr>
              <w:spacing w:after="40"/>
            </w:pPr>
            <w:r>
              <w:rPr>
                <w:sz w:val="21"/>
              </w:rPr>
              <w:t>Unrepresented demersal, reef and benthopelagic fishes use the coastal grunt pool; family, depth, habitat and feeding specialization can differ.</w:t>
            </w:r>
          </w:p>
        </w:tc>
      </w:tr>
      <w:tr w:rsidR="00E25FD2" w14:paraId="45BF5EAE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0B9E7B" w14:textId="77777777" w:rsidR="00E25FD2" w:rsidRDefault="00000000">
            <w:pPr>
              <w:spacing w:after="40"/>
            </w:pPr>
            <w:r>
              <w:rPr>
                <w:sz w:val="21"/>
              </w:rPr>
              <w:t>Pagrus auriga; Pagrus caeruleostictus; Pagrus pagrus; Parapristipoma octolineatum; Peristediidae; Phycis; Phycis blennoides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CBAD2C" w14:textId="77777777" w:rsidR="00E25FD2" w:rsidRDefault="00000000">
            <w:pPr>
              <w:spacing w:after="40"/>
            </w:pPr>
            <w:r>
              <w:rPr>
                <w:sz w:val="21"/>
              </w:rPr>
              <w:t>Unrepresented demersal, reef and benthopelagic fishes use the coastal grunt pool; family, depth, habitat and feeding specialization can differ.</w:t>
            </w:r>
          </w:p>
        </w:tc>
      </w:tr>
      <w:tr w:rsidR="00E25FD2" w14:paraId="1F468F75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A0100D" w14:textId="77777777" w:rsidR="00E25FD2" w:rsidRDefault="00000000">
            <w:pPr>
              <w:spacing w:after="40"/>
            </w:pPr>
            <w:r>
              <w:rPr>
                <w:sz w:val="21"/>
              </w:rPr>
              <w:lastRenderedPageBreak/>
              <w:t>Phycis phycis; Polymixia nobilis; Polynemidae; Polyprion americanus; Pomacentridae; Pontinus kuhlii; Priacanthidae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94B091" w14:textId="77777777" w:rsidR="00E25FD2" w:rsidRDefault="00000000">
            <w:pPr>
              <w:spacing w:after="40"/>
            </w:pPr>
            <w:r>
              <w:rPr>
                <w:sz w:val="21"/>
              </w:rPr>
              <w:t>Unrepresented demersal, reef and benthopelagic fishes use the coastal grunt pool; family, depth, habitat and feeding specialization can differ.</w:t>
            </w:r>
          </w:p>
        </w:tc>
      </w:tr>
      <w:tr w:rsidR="00E25FD2" w14:paraId="42AD19AC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FA3AD1" w14:textId="77777777" w:rsidR="00E25FD2" w:rsidRDefault="00000000">
            <w:pPr>
              <w:spacing w:after="40"/>
            </w:pPr>
            <w:r>
              <w:rPr>
                <w:sz w:val="21"/>
              </w:rPr>
              <w:t>Priacanthus; Priacanthus arenatus; Pseudupeneus prayensis; Schedophilus ovalis; Schedophilus pemarco; Scorpaena; Scorpaena notata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AF506C" w14:textId="77777777" w:rsidR="00E25FD2" w:rsidRDefault="00000000">
            <w:pPr>
              <w:spacing w:after="40"/>
            </w:pPr>
            <w:r>
              <w:rPr>
                <w:sz w:val="21"/>
              </w:rPr>
              <w:t>Unrepresented demersal, reef and benthopelagic fishes use the coastal grunt pool; family, depth, habitat and feeding specialization can differ.</w:t>
            </w:r>
          </w:p>
        </w:tc>
      </w:tr>
      <w:tr w:rsidR="00E25FD2" w14:paraId="08311299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BEBE8B" w14:textId="77777777" w:rsidR="00E25FD2" w:rsidRDefault="00000000">
            <w:pPr>
              <w:spacing w:after="40"/>
            </w:pPr>
            <w:r>
              <w:rPr>
                <w:sz w:val="21"/>
              </w:rPr>
              <w:t>Scorpaena porcus; Scorpaena scrofa; Scorpaenidae; Scorpaeniformes; Sebastidae; Serranus; Serranus cabrilla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A092EC" w14:textId="77777777" w:rsidR="00E25FD2" w:rsidRDefault="00000000">
            <w:pPr>
              <w:spacing w:after="40"/>
            </w:pPr>
            <w:r>
              <w:rPr>
                <w:sz w:val="21"/>
              </w:rPr>
              <w:t>Unrepresented demersal, reef and benthopelagic fishes use the coastal grunt pool; family, depth, habitat and feeding specialization can differ.</w:t>
            </w:r>
          </w:p>
        </w:tc>
      </w:tr>
      <w:tr w:rsidR="00E25FD2" w14:paraId="58582872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A32729" w14:textId="77777777" w:rsidR="00E25FD2" w:rsidRDefault="00000000">
            <w:pPr>
              <w:spacing w:after="40"/>
            </w:pPr>
            <w:r>
              <w:rPr>
                <w:sz w:val="21"/>
              </w:rPr>
              <w:t>Serranus scriba; Similiparma lurida; Sparidae; Sparus aurata; Sphoeroides marmoratus; Spicara; Spondyliosoma cantharus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224259" w14:textId="77777777" w:rsidR="00E25FD2" w:rsidRDefault="00000000">
            <w:pPr>
              <w:spacing w:after="40"/>
            </w:pPr>
            <w:r>
              <w:rPr>
                <w:sz w:val="21"/>
              </w:rPr>
              <w:t>Unrepresented demersal, reef and benthopelagic fishes use the coastal grunt pool; family, depth, habitat and feeding specialization can differ.</w:t>
            </w:r>
          </w:p>
        </w:tc>
      </w:tr>
      <w:tr w:rsidR="00E25FD2" w14:paraId="774139CB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148EA1" w14:textId="77777777" w:rsidR="00E25FD2" w:rsidRDefault="00000000">
            <w:pPr>
              <w:spacing w:after="40"/>
            </w:pPr>
            <w:r>
              <w:rPr>
                <w:sz w:val="21"/>
              </w:rPr>
              <w:t>Stephanolepis hispida; Stromateidae; Stromateus fiatola; Symphodus; Synodus saurus; Tetraodontidae; Thalassoma pavo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B0A1F0" w14:textId="77777777" w:rsidR="00E25FD2" w:rsidRDefault="00000000">
            <w:pPr>
              <w:spacing w:after="40"/>
            </w:pPr>
            <w:r>
              <w:rPr>
                <w:sz w:val="21"/>
              </w:rPr>
              <w:t>Unrepresented demersal, reef and benthopelagic fishes use the coastal grunt pool; family, depth, habitat and feeding specialization can differ.</w:t>
            </w:r>
          </w:p>
        </w:tc>
      </w:tr>
      <w:tr w:rsidR="00E25FD2" w14:paraId="58B1A2FD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531723" w14:textId="77777777" w:rsidR="00E25FD2" w:rsidRDefault="00000000">
            <w:pPr>
              <w:spacing w:after="40"/>
            </w:pPr>
            <w:r>
              <w:rPr>
                <w:sz w:val="21"/>
              </w:rPr>
              <w:t>Trachinus; Trachinus radiatus; Triglidae; Trisopterus luscus; Uranoscopus; Uranoscopus scaber; Zenopsis conchifer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AB4CE4" w14:textId="77777777" w:rsidR="00E25FD2" w:rsidRDefault="00000000">
            <w:pPr>
              <w:spacing w:after="40"/>
            </w:pPr>
            <w:r>
              <w:rPr>
                <w:sz w:val="21"/>
              </w:rPr>
              <w:t>Unrepresented demersal, reef and benthopelagic fishes use the coastal grunt pool; family, depth, habitat and feeding specialization can differ.</w:t>
            </w:r>
          </w:p>
        </w:tc>
      </w:tr>
      <w:tr w:rsidR="00E25FD2" w14:paraId="2E59AD3A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C6ADC9" w14:textId="77777777" w:rsidR="00E25FD2" w:rsidRDefault="00000000">
            <w:pPr>
              <w:spacing w:after="40"/>
            </w:pPr>
            <w:r>
              <w:rPr>
                <w:sz w:val="21"/>
              </w:rPr>
              <w:t>Zeus faber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05C4BF" w14:textId="77777777" w:rsidR="00E25FD2" w:rsidRDefault="00000000">
            <w:pPr>
              <w:spacing w:after="40"/>
            </w:pPr>
            <w:r>
              <w:rPr>
                <w:sz w:val="21"/>
              </w:rPr>
              <w:t>Unrepresented demersal, reef and benthopelagic fishes use the coastal grunt pool; family, depth, habitat and feeding specialization can differ.</w:t>
            </w:r>
          </w:p>
        </w:tc>
      </w:tr>
      <w:tr w:rsidR="00E25FD2" w14:paraId="4C10EDBC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575BBE" w14:textId="77777777" w:rsidR="00E25FD2" w:rsidRDefault="00000000">
            <w:pPr>
              <w:spacing w:after="40"/>
            </w:pPr>
            <w:r>
              <w:rPr>
                <w:sz w:val="21"/>
              </w:rPr>
              <w:t>Alopias; Alopias superciliosus; Alopias vulpinus; Carcharhinidae; Carcharhiniformes; Carcharhinus; Carcharhinus brachyurus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67616A" w14:textId="77777777" w:rsidR="00E25FD2" w:rsidRDefault="00000000">
            <w:pPr>
              <w:spacing w:after="40"/>
            </w:pPr>
            <w:r>
              <w:rPr>
                <w:sz w:val="21"/>
              </w:rPr>
              <w:t>Sharks have no source compartment; benthic cartilaginous or pelagic predatory-fish analogues transfer body form, trophic ecology and often depth.</w:t>
            </w:r>
          </w:p>
        </w:tc>
      </w:tr>
      <w:tr w:rsidR="00E25FD2" w14:paraId="467612E9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7D110D" w14:textId="77777777" w:rsidR="00E25FD2" w:rsidRDefault="00000000">
            <w:pPr>
              <w:spacing w:after="40"/>
            </w:pPr>
            <w:r>
              <w:rPr>
                <w:sz w:val="21"/>
              </w:rPr>
              <w:t>Carcharhinus brevipinna; Carcharhinus falciformis; Carcharhinus galapagensis; Carcharhinus leucas; Carcharhinus limbatus; Carcharhinus longimanus; Carcharhinus obscurus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03EBB4" w14:textId="77777777" w:rsidR="00E25FD2" w:rsidRDefault="00000000">
            <w:pPr>
              <w:spacing w:after="40"/>
            </w:pPr>
            <w:r>
              <w:rPr>
                <w:sz w:val="21"/>
              </w:rPr>
              <w:t>Sharks have no source compartment; benthic cartilaginous or pelagic predatory-fish analogues transfer body form, trophic ecology and often depth.</w:t>
            </w:r>
          </w:p>
        </w:tc>
      </w:tr>
      <w:tr w:rsidR="00E25FD2" w14:paraId="55C059FF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C0492A" w14:textId="77777777" w:rsidR="00E25FD2" w:rsidRDefault="00000000">
            <w:pPr>
              <w:spacing w:after="40"/>
            </w:pPr>
            <w:r>
              <w:rPr>
                <w:sz w:val="21"/>
              </w:rPr>
              <w:t>Carcharhinus plumbeus; Carcharhinus signatus; Carcharias taurus; Carcharodon carcharias; Centrophorus; Centrophorus granulosus; Centrophorus lusitanicus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C3A5E6" w14:textId="77777777" w:rsidR="00E25FD2" w:rsidRDefault="00000000">
            <w:pPr>
              <w:spacing w:after="40"/>
            </w:pPr>
            <w:r>
              <w:rPr>
                <w:sz w:val="21"/>
              </w:rPr>
              <w:t>Sharks have no source compartment; benthic cartilaginous or pelagic predatory-fish analogues transfer body form, trophic ecology and often depth.</w:t>
            </w:r>
          </w:p>
        </w:tc>
      </w:tr>
      <w:tr w:rsidR="00E25FD2" w14:paraId="177FF33A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4965C6" w14:textId="77777777" w:rsidR="00E25FD2" w:rsidRDefault="00000000">
            <w:pPr>
              <w:spacing w:after="40"/>
            </w:pPr>
            <w:r>
              <w:rPr>
                <w:sz w:val="21"/>
              </w:rPr>
              <w:lastRenderedPageBreak/>
              <w:t>Centrophorus squamosus; Centroscyllium fabricii; Centroscymnus coelolepis; Centroselachus crepidater; Cetorhinus maximus; Dalatias licha; Deania calceus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D24A79" w14:textId="77777777" w:rsidR="00E25FD2" w:rsidRDefault="00000000">
            <w:pPr>
              <w:spacing w:after="40"/>
            </w:pPr>
            <w:r>
              <w:rPr>
                <w:sz w:val="21"/>
              </w:rPr>
              <w:t>Sharks have no source compartment; benthic cartilaginous or pelagic predatory-fish analogues transfer body form, trophic ecology and often depth.</w:t>
            </w:r>
          </w:p>
        </w:tc>
      </w:tr>
      <w:tr w:rsidR="00E25FD2" w14:paraId="3F598A93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A2C7CC" w14:textId="77777777" w:rsidR="00E25FD2" w:rsidRDefault="00000000">
            <w:pPr>
              <w:spacing w:after="40"/>
            </w:pPr>
            <w:r>
              <w:rPr>
                <w:sz w:val="21"/>
              </w:rPr>
              <w:t>Echinorhinus brucus; Etmopterus; Etmopterus princeps; Galeocerdo cuvier; Galeorhinus galeus; Galeus melastomus; Ginglymostoma cirratum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D79AC6" w14:textId="77777777" w:rsidR="00E25FD2" w:rsidRDefault="00000000">
            <w:pPr>
              <w:spacing w:after="40"/>
            </w:pPr>
            <w:r>
              <w:rPr>
                <w:sz w:val="21"/>
              </w:rPr>
              <w:t>Sharks have no source compartment; benthic cartilaginous or pelagic predatory-fish analogues transfer body form, trophic ecology and often depth.</w:t>
            </w:r>
          </w:p>
        </w:tc>
      </w:tr>
      <w:tr w:rsidR="00E25FD2" w14:paraId="27B01D58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2611C6" w14:textId="77777777" w:rsidR="00E25FD2" w:rsidRDefault="00000000">
            <w:pPr>
              <w:spacing w:after="40"/>
            </w:pPr>
            <w:r>
              <w:rPr>
                <w:sz w:val="21"/>
              </w:rPr>
              <w:t>Heptranchias perlo; Hexanchus griseus; Isurus; Isurus oxyrinchus; Isurus paucus; Lamna nasus; Lamnidae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84DA1A" w14:textId="77777777" w:rsidR="00E25FD2" w:rsidRDefault="00000000">
            <w:pPr>
              <w:spacing w:after="40"/>
            </w:pPr>
            <w:r>
              <w:rPr>
                <w:sz w:val="21"/>
              </w:rPr>
              <w:t>Sharks have no source compartment; benthic cartilaginous or pelagic predatory-fish analogues transfer body form, trophic ecology and often depth.</w:t>
            </w:r>
          </w:p>
        </w:tc>
      </w:tr>
      <w:tr w:rsidR="00E25FD2" w14:paraId="5DD79B24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628339" w14:textId="77777777" w:rsidR="00E25FD2" w:rsidRDefault="00000000">
            <w:pPr>
              <w:spacing w:after="40"/>
            </w:pPr>
            <w:r>
              <w:rPr>
                <w:sz w:val="21"/>
              </w:rPr>
              <w:t>Lamniformes; Leptocharias smithii; Mustelus; Mustelus asterias; Mustelus mustelus; Odontaspis ferox; Oxynotus centrina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50FBC6" w14:textId="77777777" w:rsidR="00E25FD2" w:rsidRDefault="00000000">
            <w:pPr>
              <w:spacing w:after="40"/>
            </w:pPr>
            <w:r>
              <w:rPr>
                <w:sz w:val="21"/>
              </w:rPr>
              <w:t>Sharks have no source compartment; benthic cartilaginous or pelagic predatory-fish analogues transfer body form, trophic ecology and often depth.</w:t>
            </w:r>
          </w:p>
        </w:tc>
      </w:tr>
      <w:tr w:rsidR="00E25FD2" w14:paraId="0309861B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67A778" w14:textId="77777777" w:rsidR="00E25FD2" w:rsidRDefault="00000000">
            <w:pPr>
              <w:spacing w:after="40"/>
            </w:pPr>
            <w:r>
              <w:rPr>
                <w:sz w:val="21"/>
              </w:rPr>
              <w:t>Prionace glauca; Rhizoprionodon acutus; Scyliorhinidae; Scyliorhinus; Scyliorhinus canicula; Scyliorhinus stellaris; Scymnodon ringens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9075F2" w14:textId="77777777" w:rsidR="00E25FD2" w:rsidRDefault="00000000">
            <w:pPr>
              <w:spacing w:after="40"/>
            </w:pPr>
            <w:r>
              <w:rPr>
                <w:sz w:val="21"/>
              </w:rPr>
              <w:t>Sharks have no source compartment; benthic cartilaginous or pelagic predatory-fish analogues transfer body form, trophic ecology and often depth.</w:t>
            </w:r>
          </w:p>
        </w:tc>
      </w:tr>
      <w:tr w:rsidR="00E25FD2" w14:paraId="116421AA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6A6E56" w14:textId="77777777" w:rsidR="00E25FD2" w:rsidRDefault="00000000">
            <w:pPr>
              <w:spacing w:after="40"/>
            </w:pPr>
            <w:r>
              <w:rPr>
                <w:sz w:val="21"/>
              </w:rPr>
              <w:t>Somniosus rostratus; Sphyrna; Sphyrna lewini; Sphyrna mokarran; Sphyrna zygaena; Sphyrnidae; Squalidae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179962" w14:textId="77777777" w:rsidR="00E25FD2" w:rsidRDefault="00000000">
            <w:pPr>
              <w:spacing w:after="40"/>
            </w:pPr>
            <w:r>
              <w:rPr>
                <w:sz w:val="21"/>
              </w:rPr>
              <w:t>Sharks have no source compartment; benthic cartilaginous or pelagic predatory-fish analogues transfer body form, trophic ecology and often depth.</w:t>
            </w:r>
          </w:p>
        </w:tc>
      </w:tr>
      <w:tr w:rsidR="00E25FD2" w14:paraId="55DE9486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6C4129" w14:textId="77777777" w:rsidR="00E25FD2" w:rsidRDefault="00000000">
            <w:pPr>
              <w:spacing w:after="40"/>
            </w:pPr>
            <w:r>
              <w:rPr>
                <w:sz w:val="21"/>
              </w:rPr>
              <w:t>Squaliformes; Squalus; Squalus acanthias; Squalus blainville; Squatina squatina; Squatinidae; Triakidae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0CA9E5" w14:textId="77777777" w:rsidR="00E25FD2" w:rsidRDefault="00000000">
            <w:pPr>
              <w:spacing w:after="40"/>
            </w:pPr>
            <w:r>
              <w:rPr>
                <w:sz w:val="21"/>
              </w:rPr>
              <w:t>Sharks have no source compartment; benthic cartilaginous or pelagic predatory-fish analogues transfer body form, trophic ecology and often depth.</w:t>
            </w:r>
          </w:p>
        </w:tc>
      </w:tr>
      <w:tr w:rsidR="00E25FD2" w14:paraId="408717EC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F4CCD1" w14:textId="77777777" w:rsidR="00E25FD2" w:rsidRDefault="00000000">
            <w:pPr>
              <w:spacing w:after="40"/>
            </w:pPr>
            <w:r>
              <w:rPr>
                <w:sz w:val="21"/>
              </w:rPr>
              <w:t>Cephalopoda; Illex coindetii; Loliginidae; Loligo; Loligo forbesii; Octopoda; Octopodidae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625C99" w14:textId="77777777" w:rsidR="00E25FD2" w:rsidRDefault="00000000">
            <w:pPr>
              <w:spacing w:after="40"/>
            </w:pPr>
            <w:r>
              <w:rPr>
                <w:sz w:val="21"/>
              </w:rPr>
              <w:t>Cephalopods are unrepresented; a bivalve/gastropod-dominated macrobenthos analogue transfers trophic function and, for pelagic forms, habitat.</w:t>
            </w:r>
          </w:p>
        </w:tc>
      </w:tr>
      <w:tr w:rsidR="00E25FD2" w14:paraId="709AA24B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AD975F" w14:textId="77777777" w:rsidR="00E25FD2" w:rsidRDefault="00000000">
            <w:pPr>
              <w:spacing w:after="40"/>
            </w:pPr>
            <w:r>
              <w:rPr>
                <w:sz w:val="21"/>
              </w:rPr>
              <w:t>Octopus; Octopus vulgaris; Ommastrephes; Ommastrephes bartramii; Ommastrephidae; Sepia; Sepia officinalis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94DACC" w14:textId="77777777" w:rsidR="00E25FD2" w:rsidRDefault="00000000">
            <w:pPr>
              <w:spacing w:after="40"/>
            </w:pPr>
            <w:r>
              <w:rPr>
                <w:sz w:val="21"/>
              </w:rPr>
              <w:t>Cephalopods are unrepresented; a bivalve/gastropod-dominated macrobenthos analogue transfers trophic function and, for pelagic forms, habitat.</w:t>
            </w:r>
          </w:p>
        </w:tc>
      </w:tr>
      <w:tr w:rsidR="00E25FD2" w14:paraId="272B552F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50FD72" w14:textId="77777777" w:rsidR="00E25FD2" w:rsidRDefault="00000000">
            <w:pPr>
              <w:spacing w:after="40"/>
            </w:pPr>
            <w:r>
              <w:rPr>
                <w:sz w:val="21"/>
              </w:rPr>
              <w:t>Sepiida; Sepiidae; Teuthida; Todarodes sagittatus; Todaropsis eblanae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17F552" w14:textId="77777777" w:rsidR="00E25FD2" w:rsidRDefault="00000000">
            <w:pPr>
              <w:spacing w:after="40"/>
            </w:pPr>
            <w:r>
              <w:rPr>
                <w:sz w:val="21"/>
              </w:rPr>
              <w:t>Cephalopods are unrepresented; a bivalve/gastropod-dominated macrobenthos analogue transfers trophic function and, for pelagic forms, habitat.</w:t>
            </w:r>
          </w:p>
        </w:tc>
      </w:tr>
      <w:tr w:rsidR="00E25FD2" w14:paraId="52C72807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6FB26F" w14:textId="77777777" w:rsidR="00E25FD2" w:rsidRDefault="00000000">
            <w:pPr>
              <w:spacing w:after="40"/>
            </w:pPr>
            <w:r>
              <w:rPr>
                <w:sz w:val="21"/>
              </w:rPr>
              <w:t>Scomberomorus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1D154F" w14:textId="77777777" w:rsidR="00E25FD2" w:rsidRDefault="00000000">
            <w:pPr>
              <w:spacing w:after="40"/>
            </w:pPr>
            <w:r>
              <w:rPr>
                <w:sz w:val="21"/>
              </w:rPr>
              <w:t>An unrepresented taxon or unresolved reported genus uses a named single-species relative; the source does not document its inclusion.</w:t>
            </w:r>
          </w:p>
        </w:tc>
      </w:tr>
      <w:tr w:rsidR="00E25FD2" w14:paraId="355E12F7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577474" w14:textId="77777777" w:rsidR="00E25FD2" w:rsidRDefault="00000000">
            <w:pPr>
              <w:spacing w:after="40"/>
            </w:pPr>
            <w:r>
              <w:rPr>
                <w:sz w:val="21"/>
              </w:rPr>
              <w:lastRenderedPageBreak/>
              <w:t>Cephalopholis taeniops; Epinephelus; Epinephelus caninus; Epinephelus goreensis; Epinephelus marginatus; Mycteroperca fusca; Mycteroperca rubra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1B4CCC" w14:textId="77777777" w:rsidR="00E25FD2" w:rsidRDefault="00000000">
            <w:pPr>
              <w:spacing w:after="40"/>
            </w:pPr>
            <w:r>
              <w:rPr>
                <w:sz w:val="21"/>
              </w:rPr>
              <w:t>Grouper and bottom-predator placement is tentative because basic inputs and diet group20 identify different fish families.</w:t>
            </w:r>
          </w:p>
        </w:tc>
      </w:tr>
      <w:tr w:rsidR="00E25FD2" w14:paraId="2D544928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0A53EF" w14:textId="77777777" w:rsidR="00E25FD2" w:rsidRDefault="00000000">
            <w:pPr>
              <w:spacing w:after="40"/>
            </w:pPr>
            <w:r>
              <w:rPr>
                <w:sz w:val="21"/>
              </w:rPr>
              <w:t>Serranidae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42FF99" w14:textId="77777777" w:rsidR="00E25FD2" w:rsidRDefault="00000000">
            <w:pPr>
              <w:spacing w:after="40"/>
            </w:pPr>
            <w:r>
              <w:rPr>
                <w:sz w:val="21"/>
              </w:rPr>
              <w:t>Grouper and bottom-predator placement is tentative because basic inputs and diet group20 identify different fish families.</w:t>
            </w:r>
          </w:p>
        </w:tc>
      </w:tr>
      <w:tr w:rsidR="00E25FD2" w14:paraId="3AA095AF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873C54" w14:textId="77777777" w:rsidR="00E25FD2" w:rsidRDefault="00000000">
            <w:pPr>
              <w:spacing w:after="40"/>
            </w:pPr>
            <w:r>
              <w:rPr>
                <w:sz w:val="21"/>
              </w:rPr>
              <w:t>Batoidea; Chondrichthyes; Elasmobranchii; Rajiformes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223038" w14:textId="77777777" w:rsidR="00E25FD2" w:rsidRDefault="00000000">
            <w:pPr>
              <w:spacing w:after="40"/>
            </w:pPr>
            <w:r>
              <w:rPr>
                <w:sz w:val="21"/>
              </w:rPr>
              <w:t>Broad cartilaginous-fish composition mixes ray and predatory-fish analogues; unrepresented sharks, chimaeras and specialized rays remain a major biological mismatch.</w:t>
            </w:r>
          </w:p>
        </w:tc>
      </w:tr>
      <w:tr w:rsidR="00E25FD2" w14:paraId="13CFCF63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9B1D0A" w14:textId="77777777" w:rsidR="00E25FD2" w:rsidRDefault="00000000">
            <w:pPr>
              <w:spacing w:after="40"/>
            </w:pPr>
            <w:r>
              <w:rPr>
                <w:sz w:val="21"/>
              </w:rPr>
              <w:t>Arnoglossus laterna; Bothidae; Bothus podas; Citharus linguatula; Dicologlossa cuneata; Dicologlossa hexophthalma; Lepidorhombus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B5CEEB" w14:textId="77777777" w:rsidR="00E25FD2" w:rsidRDefault="00000000">
            <w:pPr>
              <w:spacing w:after="40"/>
            </w:pPr>
            <w:r>
              <w:rPr>
                <w:sz w:val="21"/>
              </w:rPr>
              <w:t>Unrepresented flatfish families use the Citarichthys/Psettodes and Cynoglossus pools; source taxonomic containment and their target split are unknown.</w:t>
            </w:r>
          </w:p>
        </w:tc>
      </w:tr>
      <w:tr w:rsidR="00E25FD2" w14:paraId="2A07C779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53BD6B" w14:textId="77777777" w:rsidR="00E25FD2" w:rsidRDefault="00000000">
            <w:pPr>
              <w:spacing w:after="40"/>
            </w:pPr>
            <w:r>
              <w:rPr>
                <w:sz w:val="21"/>
              </w:rPr>
              <w:t>Lepidorhombus boscii; Lepidorhombus whiffiagonis; Microchirus; Microchirus variegatus; Pleuronectiformes; Psettodes bennettii; Psettodidae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96820B" w14:textId="77777777" w:rsidR="00E25FD2" w:rsidRDefault="00000000">
            <w:pPr>
              <w:spacing w:after="40"/>
            </w:pPr>
            <w:r>
              <w:rPr>
                <w:sz w:val="21"/>
              </w:rPr>
              <w:t>Unrepresented flatfish families use the Citarichthys/Psettodes and Cynoglossus pools; source taxonomic containment and their target split are unknown.</w:t>
            </w:r>
          </w:p>
        </w:tc>
      </w:tr>
      <w:tr w:rsidR="00E25FD2" w14:paraId="2B6C7B93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7C40F5" w14:textId="77777777" w:rsidR="00E25FD2" w:rsidRDefault="00000000">
            <w:pPr>
              <w:spacing w:after="40"/>
            </w:pPr>
            <w:r>
              <w:rPr>
                <w:sz w:val="21"/>
              </w:rPr>
              <w:t>Solea; Solea senegalensis; Solea solea; Soleidae; Synapturichthys kleinii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D49BDE" w14:textId="77777777" w:rsidR="00E25FD2" w:rsidRDefault="00000000">
            <w:pPr>
              <w:spacing w:after="40"/>
            </w:pPr>
            <w:r>
              <w:rPr>
                <w:sz w:val="21"/>
              </w:rPr>
              <w:t>Unrepresented flatfish families use the Citarichthys/Psettodes and Cynoglossus pools; source taxonomic containment and their target split are unknown.</w:t>
            </w:r>
          </w:p>
        </w:tc>
      </w:tr>
      <w:tr w:rsidR="00E25FD2" w14:paraId="6AE6ED3C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CD8DC4" w14:textId="77777777" w:rsidR="00E25FD2" w:rsidRDefault="00000000">
            <w:pPr>
              <w:spacing w:after="40"/>
            </w:pPr>
            <w:r>
              <w:rPr>
                <w:sz w:val="21"/>
              </w:rPr>
              <w:t>Aphanopus carbo; Aphanopus intermedius; Gempylidae; Lepidocybium flavobrunneum; Lepidopus caudatus; Promethichthys prometheus; Ruvettus pretiosus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C49077" w14:textId="77777777" w:rsidR="00E25FD2" w:rsidRDefault="00000000">
            <w:pPr>
              <w:spacing w:after="40"/>
            </w:pPr>
            <w:r>
              <w:rPr>
                <w:sz w:val="21"/>
              </w:rPr>
              <w:t>Unrepresented elongate benthopelagic predators use single-species Trichiurus lepturus; broader taxonomy and often deep-water habitat differ.</w:t>
            </w:r>
          </w:p>
        </w:tc>
      </w:tr>
      <w:tr w:rsidR="00E25FD2" w14:paraId="66D9B6B1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2805FE" w14:textId="77777777" w:rsidR="00E25FD2" w:rsidRDefault="00000000">
            <w:pPr>
              <w:spacing w:after="40"/>
            </w:pPr>
            <w:r>
              <w:rPr>
                <w:sz w:val="21"/>
              </w:rPr>
              <w:t>Trichiuridae; Trichiurus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7AAA07" w14:textId="77777777" w:rsidR="00E25FD2" w:rsidRDefault="00000000">
            <w:pPr>
              <w:spacing w:after="40"/>
            </w:pPr>
            <w:r>
              <w:rPr>
                <w:sz w:val="21"/>
              </w:rPr>
              <w:t>Unrepresented elongate benthopelagic predators use single-species Trichiurus lepturus; broader taxonomy and often deep-water habitat differ.</w:t>
            </w:r>
          </w:p>
        </w:tc>
      </w:tr>
      <w:tr w:rsidR="00E25FD2" w14:paraId="173CC007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4290B9" w14:textId="77777777" w:rsidR="00E25FD2" w:rsidRDefault="00000000">
            <w:pPr>
              <w:spacing w:after="40"/>
            </w:pPr>
            <w:r>
              <w:rPr>
                <w:sz w:val="21"/>
              </w:rPr>
              <w:t>Aetomylaeus bovinus; Chimaeriformes; Glaucostegus cemiculus; Gymnura altavela; Gymnura micrura; Mobula birostris; Myliobatidae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B6DCAE" w14:textId="77777777" w:rsidR="00E25FD2" w:rsidRDefault="00000000">
            <w:pPr>
              <w:spacing w:after="40"/>
            </w:pPr>
            <w:r>
              <w:rPr>
                <w:sz w:val="21"/>
              </w:rPr>
              <w:t>Non-dasyatid rays and chimaeras use the source dasyatid pool; specialized morphology, feeding and sometimes pelagic/deep habitat differ.</w:t>
            </w:r>
          </w:p>
        </w:tc>
      </w:tr>
      <w:tr w:rsidR="00E25FD2" w14:paraId="0815FD22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9F8498" w14:textId="77777777" w:rsidR="00E25FD2" w:rsidRDefault="00000000">
            <w:pPr>
              <w:spacing w:after="40"/>
            </w:pPr>
            <w:r>
              <w:rPr>
                <w:sz w:val="21"/>
              </w:rPr>
              <w:t>Myliobatis aquila; Pristidae; Raja; Raja brachyura; Raja clavata; Raja microocellata; Raja miraletus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AE6999" w14:textId="77777777" w:rsidR="00E25FD2" w:rsidRDefault="00000000">
            <w:pPr>
              <w:spacing w:after="40"/>
            </w:pPr>
            <w:r>
              <w:rPr>
                <w:sz w:val="21"/>
              </w:rPr>
              <w:t>Non-dasyatid rays and chimaeras use the source dasyatid pool; specialized morphology, feeding and sometimes pelagic/deep habitat differ.</w:t>
            </w:r>
          </w:p>
        </w:tc>
      </w:tr>
      <w:tr w:rsidR="00E25FD2" w14:paraId="6BCD16ED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9CC011" w14:textId="77777777" w:rsidR="00E25FD2" w:rsidRDefault="00000000">
            <w:pPr>
              <w:spacing w:after="40"/>
            </w:pPr>
            <w:r>
              <w:rPr>
                <w:sz w:val="21"/>
              </w:rPr>
              <w:t>Raja undulata; Rhinobatidae; Rhinobatos; Rhinobatos rhinobatos; Rostroraja alba; Torpedo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812749" w14:textId="77777777" w:rsidR="00E25FD2" w:rsidRDefault="00000000">
            <w:pPr>
              <w:spacing w:after="40"/>
            </w:pPr>
            <w:r>
              <w:rPr>
                <w:sz w:val="21"/>
              </w:rPr>
              <w:t>Non-dasyatid rays and chimaeras use the source dasyatid pool; specialized morphology, feeding and sometimes pelagic/deep habitat differ.</w:t>
            </w:r>
          </w:p>
        </w:tc>
      </w:tr>
      <w:tr w:rsidR="00E25FD2" w14:paraId="4F878AFF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F5623B" w14:textId="77777777" w:rsidR="00E25FD2" w:rsidRDefault="00000000">
            <w:pPr>
              <w:spacing w:after="40"/>
            </w:pPr>
            <w:r>
              <w:rPr>
                <w:sz w:val="21"/>
              </w:rPr>
              <w:lastRenderedPageBreak/>
              <w:t>Calappa granulata; Chaceon affinis; Chaceon maritae; Eriphia verrucosa; Geryon; Homarus gammarus; Maja squinado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C64D13" w14:textId="77777777" w:rsidR="00E25FD2" w:rsidRDefault="00000000">
            <w:pPr>
              <w:spacing w:after="40"/>
            </w:pPr>
            <w:r>
              <w:rPr>
                <w:sz w:val="21"/>
              </w:rPr>
              <w:t>Non-portunid crabs and lobsters use the source portunid crab pool as a benthic decapod analogue; taxonomy, habitat and fishery differ.</w:t>
            </w:r>
          </w:p>
        </w:tc>
      </w:tr>
      <w:tr w:rsidR="00E25FD2" w14:paraId="36551DB4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EC4237" w14:textId="77777777" w:rsidR="00E25FD2" w:rsidRDefault="00000000">
            <w:pPr>
              <w:spacing w:after="40"/>
            </w:pPr>
            <w:r>
              <w:rPr>
                <w:sz w:val="21"/>
              </w:rPr>
              <w:t>Nephropidae; Nephrops norvegicus; Palinuridae; Palinurus; Palinurus mauritanicus; Panulirus; Panulirus regius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B4E8D6" w14:textId="77777777" w:rsidR="00E25FD2" w:rsidRDefault="00000000">
            <w:pPr>
              <w:spacing w:after="40"/>
            </w:pPr>
            <w:r>
              <w:rPr>
                <w:sz w:val="21"/>
              </w:rPr>
              <w:t>Non-portunid crabs and lobsters use the source portunid crab pool as a benthic decapod analogue; taxonomy, habitat and fishery differ.</w:t>
            </w:r>
          </w:p>
        </w:tc>
      </w:tr>
      <w:tr w:rsidR="00E25FD2" w14:paraId="32E72A61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615290" w14:textId="77777777" w:rsidR="00E25FD2" w:rsidRDefault="00000000">
            <w:pPr>
              <w:spacing w:after="40"/>
            </w:pPr>
            <w:r>
              <w:rPr>
                <w:sz w:val="21"/>
              </w:rPr>
              <w:t>Paromola cuvieri; Scyllaridae; Scyllarus arctus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A945CB" w14:textId="77777777" w:rsidR="00E25FD2" w:rsidRDefault="00000000">
            <w:pPr>
              <w:spacing w:after="40"/>
            </w:pPr>
            <w:r>
              <w:rPr>
                <w:sz w:val="21"/>
              </w:rPr>
              <w:t>Non-portunid crabs and lobsters use the source portunid crab pool as a benthic decapod analogue; taxonomy, habitat and fishery differ.</w:t>
            </w:r>
          </w:p>
        </w:tc>
      </w:tr>
      <w:tr w:rsidR="00E25FD2" w14:paraId="5F8ABD31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519677" w14:textId="77777777" w:rsidR="00E25FD2" w:rsidRDefault="00000000">
            <w:pPr>
              <w:spacing w:after="40"/>
            </w:pPr>
            <w:r>
              <w:rPr>
                <w:sz w:val="21"/>
              </w:rPr>
              <w:t>Dendrobranchiata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065228" w14:textId="77777777" w:rsidR="00E25FD2" w:rsidRDefault="00000000">
            <w:pPr>
              <w:spacing w:after="40"/>
            </w:pPr>
            <w:r>
              <w:rPr>
                <w:sz w:val="21"/>
              </w:rPr>
              <w:t>Broad shrimp reporting composition is unknown and can include offshore/deep-water families absent from the estuarine source pool.</w:t>
            </w:r>
          </w:p>
        </w:tc>
      </w:tr>
      <w:tr w:rsidR="00E25FD2" w14:paraId="560831F0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88F9F5" w14:textId="77777777" w:rsidR="00E25FD2" w:rsidRDefault="00000000">
            <w:pPr>
              <w:spacing w:after="40"/>
            </w:pPr>
            <w:r>
              <w:rPr>
                <w:sz w:val="21"/>
              </w:rPr>
              <w:t>Holothuroidea; Lepas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EA2131" w14:textId="77777777" w:rsidR="00E25FD2" w:rsidRDefault="00000000">
            <w:pPr>
              <w:spacing w:after="40"/>
            </w:pPr>
            <w:r>
              <w:rPr>
                <w:sz w:val="21"/>
              </w:rPr>
              <w:t>Unlisted benthic invertebrates use macrobenthos as a bottom-fauna analogue; the exact taxonomic/source composition is unverified.</w:t>
            </w:r>
          </w:p>
        </w:tc>
      </w:tr>
      <w:tr w:rsidR="00E25FD2" w14:paraId="1B100DBA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709590" w14:textId="77777777" w:rsidR="00E25FD2" w:rsidRDefault="00000000">
            <w:pPr>
              <w:spacing w:after="40"/>
            </w:pPr>
            <w:r>
              <w:rPr>
                <w:sz w:val="21"/>
              </w:rPr>
              <w:t>Marine pelagic fishes not identified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2672D4" w14:textId="77777777" w:rsidR="00E25FD2" w:rsidRDefault="00000000">
            <w:pPr>
              <w:spacing w:after="40"/>
            </w:pPr>
            <w:r>
              <w:rPr>
                <w:sz w:val="21"/>
              </w:rPr>
              <w:t>Unidentified pelagic-fish composition is unknown; a mixture of source pelagic/benthopelagic pools transfers the estuarine assemblage to offshore regional catch.</w:t>
            </w:r>
          </w:p>
        </w:tc>
      </w:tr>
      <w:tr w:rsidR="00E25FD2" w14:paraId="4B49DD0F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EB62D3" w14:textId="77777777" w:rsidR="00E25FD2" w:rsidRDefault="00000000">
            <w:pPr>
              <w:spacing w:after="40"/>
            </w:pPr>
            <w:r>
              <w:rPr>
                <w:sz w:val="21"/>
              </w:rPr>
              <w:t>Decapoda; Malacostraca; Miscellaneous marine crustaceans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3B12B7" w14:textId="77777777" w:rsidR="00E25FD2" w:rsidRDefault="00000000">
            <w:pPr>
              <w:spacing w:after="40"/>
            </w:pPr>
            <w:r>
              <w:rPr>
                <w:sz w:val="21"/>
              </w:rPr>
              <w:t>Broad crustacean composition is unknown and can include unrepresented lobsters/krill; a shrimp-and-portunid-crab mixture is assumed.</w:t>
            </w:r>
          </w:p>
        </w:tc>
      </w:tr>
      <w:tr w:rsidR="00E25FD2" w14:paraId="35A19FBF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B25579" w14:textId="77777777" w:rsidR="00E25FD2" w:rsidRDefault="00000000">
            <w:pPr>
              <w:spacing w:after="40"/>
            </w:pPr>
            <w:r>
              <w:rPr>
                <w:sz w:val="21"/>
              </w:rPr>
              <w:t>Aristaeomorpha foliacea; Aristaeopsis edwardsiana; Aristeidae; Aristeus antennatus; Aristeus varidens; Parapenaeus longirostris; Solenocera africana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85F8AC" w14:textId="77777777" w:rsidR="00E25FD2" w:rsidRDefault="00000000">
            <w:pPr>
              <w:spacing w:after="40"/>
            </w:pPr>
            <w:r>
              <w:rPr>
                <w:sz w:val="21"/>
              </w:rPr>
              <w:t>Unrepresented offshore/deep-water shrimps use the estuarine shrimp pool; source taxonomic and habitat containment is unverified.</w:t>
            </w:r>
          </w:p>
        </w:tc>
      </w:tr>
      <w:tr w:rsidR="00E25FD2" w14:paraId="50F8EAB7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7A443F" w14:textId="77777777" w:rsidR="00E25FD2" w:rsidRDefault="00000000">
            <w:pPr>
              <w:spacing w:after="40"/>
            </w:pPr>
            <w:r>
              <w:rPr>
                <w:sz w:val="21"/>
              </w:rPr>
              <w:t>Solenocera membranacea; Solenoceridae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98E0E8" w14:textId="77777777" w:rsidR="00E25FD2" w:rsidRDefault="00000000">
            <w:pPr>
              <w:spacing w:after="40"/>
            </w:pPr>
            <w:r>
              <w:rPr>
                <w:sz w:val="21"/>
              </w:rPr>
              <w:t>Unrepresented offshore/deep-water shrimps use the estuarine shrimp pool; source taxonomic and habitat containment is unverified.</w:t>
            </w:r>
          </w:p>
        </w:tc>
      </w:tr>
      <w:tr w:rsidR="00E25FD2" w14:paraId="02EA45D8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513E6D" w14:textId="77777777" w:rsidR="00E25FD2" w:rsidRDefault="00000000">
            <w:pPr>
              <w:spacing w:after="40"/>
            </w:pPr>
            <w:r>
              <w:rPr>
                <w:sz w:val="21"/>
              </w:rPr>
              <w:t>Acanthuridae; Acanthurus; Acanthurus monroviae; Kyphosus sectatrix; Sarpa salpa; Scaridae; Sparisoma cretense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D4D488" w14:textId="77777777" w:rsidR="00E25FD2" w:rsidRDefault="00000000">
            <w:pPr>
              <w:spacing w:after="40"/>
            </w:pPr>
            <w:r>
              <w:rPr>
                <w:sz w:val="21"/>
              </w:rPr>
              <w:t>Unrepresented reef/coastal herbivores use the mullet pool as a feeding analogue; taxonomy and habitat differ.</w:t>
            </w:r>
          </w:p>
        </w:tc>
      </w:tr>
      <w:tr w:rsidR="00E25FD2" w14:paraId="1D5258AE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861A2D" w14:textId="77777777" w:rsidR="00E25FD2" w:rsidRDefault="00000000">
            <w:pPr>
              <w:spacing w:after="40"/>
            </w:pPr>
            <w:r>
              <w:rPr>
                <w:sz w:val="21"/>
              </w:rPr>
              <w:t>Clupeidae; Clupeiformes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A71EB8" w14:textId="77777777" w:rsidR="00E25FD2" w:rsidRDefault="00000000">
            <w:pPr>
              <w:spacing w:after="40"/>
            </w:pPr>
            <w:r>
              <w:rPr>
                <w:sz w:val="21"/>
              </w:rPr>
              <w:t>Broad clupeid or clupeiform composition is unknown across dedicated and pooled source compartments.</w:t>
            </w:r>
          </w:p>
        </w:tc>
      </w:tr>
      <w:tr w:rsidR="00E25FD2" w14:paraId="1B77A151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20CAE6" w14:textId="77777777" w:rsidR="00E25FD2" w:rsidRDefault="00000000">
            <w:pPr>
              <w:spacing w:after="40"/>
            </w:pPr>
            <w:r>
              <w:rPr>
                <w:sz w:val="21"/>
              </w:rPr>
              <w:t>Haemulidae; Inermiidae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14C288" w14:textId="77777777" w:rsidR="00E25FD2" w:rsidRDefault="00000000">
            <w:pPr>
              <w:spacing w:after="40"/>
            </w:pPr>
            <w:r>
              <w:rPr>
                <w:sz w:val="21"/>
              </w:rPr>
              <w:t>Broad fish-family composition is unknown across represented pools; unlisted members may have different ecological affinities.</w:t>
            </w:r>
          </w:p>
        </w:tc>
      </w:tr>
      <w:tr w:rsidR="00E25FD2" w14:paraId="4EBEA7E5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7465F5" w14:textId="77777777" w:rsidR="00E25FD2" w:rsidRDefault="00000000">
            <w:pPr>
              <w:spacing w:after="40"/>
            </w:pPr>
            <w:r>
              <w:rPr>
                <w:sz w:val="21"/>
              </w:rPr>
              <w:t>Mollusca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78576D" w14:textId="77777777" w:rsidR="00E25FD2" w:rsidRDefault="00000000">
            <w:pPr>
              <w:spacing w:after="40"/>
            </w:pPr>
            <w:r>
              <w:rPr>
                <w:sz w:val="21"/>
              </w:rPr>
              <w:t>Broad mollusc composition is unknown and includes unrepresented cephalopods; all catch is approximated by the source macrobenthos pool.</w:t>
            </w:r>
          </w:p>
        </w:tc>
      </w:tr>
      <w:tr w:rsidR="00E25FD2" w14:paraId="17F24251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3BD7FC" w14:textId="77777777" w:rsidR="00E25FD2" w:rsidRDefault="00000000">
            <w:pPr>
              <w:spacing w:after="40"/>
            </w:pPr>
            <w:r>
              <w:rPr>
                <w:sz w:val="21"/>
              </w:rPr>
              <w:t>Miscellaneous aquatic invertebrates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D97F38" w14:textId="77777777" w:rsidR="00E25FD2" w:rsidRDefault="00000000">
            <w:pPr>
              <w:spacing w:after="40"/>
            </w:pPr>
            <w:r>
              <w:rPr>
                <w:sz w:val="21"/>
              </w:rPr>
              <w:t>Unidentified aquatic invertebrates use a biomass-weighted mixture of represented consumer pools; unrepresented components and reporting composition remain unknown.</w:t>
            </w:r>
          </w:p>
        </w:tc>
      </w:tr>
      <w:tr w:rsidR="00E25FD2" w14:paraId="6732C269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E6E608" w14:textId="77777777" w:rsidR="00E25FD2" w:rsidRDefault="00000000">
            <w:pPr>
              <w:spacing w:after="40"/>
            </w:pPr>
            <w:r>
              <w:rPr>
                <w:sz w:val="21"/>
              </w:rPr>
              <w:lastRenderedPageBreak/>
              <w:t>Marine groundfishes not identified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139B20" w14:textId="77777777" w:rsidR="00E25FD2" w:rsidRDefault="00000000">
            <w:pPr>
              <w:spacing w:after="40"/>
            </w:pPr>
            <w:r>
              <w:rPr>
                <w:sz w:val="21"/>
              </w:rPr>
              <w:t>Groundfish composition is unknown among source bottom-associated pools; the estuarine assemblage is transferred to whole-LME reported groundfish.</w:t>
            </w:r>
          </w:p>
        </w:tc>
      </w:tr>
    </w:tbl>
    <w:p w14:paraId="2159214B" w14:textId="77777777" w:rsidR="00E25FD2" w:rsidRDefault="00000000">
      <w:r>
        <w:br w:type="page"/>
      </w:r>
    </w:p>
    <w:p w14:paraId="735F0A57" w14:textId="77777777" w:rsidR="00E25FD2" w:rsidRDefault="00000000">
      <w:pPr>
        <w:pStyle w:val="1"/>
      </w:pPr>
      <w:r>
        <w:lastRenderedPageBreak/>
        <w:t>Geographic evidence</w:t>
      </w:r>
    </w:p>
    <w:p w14:paraId="201CB27B" w14:textId="77777777" w:rsidR="00E25FD2" w:rsidRDefault="00000000">
      <w:r>
        <w:t>R is the Canary Current LME and S is the thesis Sine-Saloum estuary. The reported 546 km² gives an upper bound on A even under full containment. Figure 2.2 does not delimit the exact model water area, and its eastward channels conflict with the printed longitude strip; B remains uncertain.</w:t>
      </w:r>
    </w:p>
    <w:p w14:paraId="07F7CA5D" w14:textId="77777777" w:rsidR="00E25FD2" w:rsidRDefault="00000000">
      <w:pPr>
        <w:pStyle w:val="21"/>
      </w:pPr>
      <w:r>
        <w:t>Region area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37"/>
      </w:tblGrid>
      <w:tr w:rsidR="00E25FD2" w14:paraId="521B30B0" w14:textId="77777777">
        <w:trPr>
          <w:cantSplit/>
          <w:tblHeader/>
          <w:jc w:val="center"/>
        </w:trPr>
        <w:tc>
          <w:tcPr>
            <w:tcW w:w="100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5EC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1B15AC" w14:textId="77777777" w:rsidR="00E25FD2" w:rsidRDefault="00000000">
            <w:pPr>
              <w:spacing w:after="40"/>
            </w:pPr>
            <w:r>
              <w:rPr>
                <w:b/>
                <w:sz w:val="21"/>
              </w:rPr>
              <w:t>Target region boundary</w:t>
            </w:r>
          </w:p>
        </w:tc>
      </w:tr>
      <w:tr w:rsidR="00E25FD2" w14:paraId="1AF9CD49" w14:textId="77777777">
        <w:trPr>
          <w:cantSplit/>
          <w:jc w:val="center"/>
        </w:trPr>
        <w:tc>
          <w:tcPr>
            <w:tcW w:w="100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27BB88" w14:textId="77777777" w:rsidR="00E25FD2" w:rsidRDefault="00000000">
            <w:pPr>
              <w:spacing w:after="40"/>
            </w:pPr>
            <w:r>
              <w:rPr>
                <w:noProof/>
              </w:rPr>
              <w:drawing>
                <wp:inline distT="0" distB="0" distL="0" distR="0" wp14:anchorId="5359A52D" wp14:editId="31228DD5">
                  <wp:extent cx="5577840" cy="7099069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arget_region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0" cy="70990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524A51" w14:textId="77777777" w:rsidR="00E25FD2" w:rsidRDefault="00000000">
            <w:hyperlink r:id="rId26">
              <w:r>
                <w:rPr>
                  <w:color w:val="0563C1"/>
                  <w:sz w:val="21"/>
                  <w:u w:val="single"/>
                </w:rPr>
                <w:t>Geographic assessment</w:t>
              </w:r>
            </w:hyperlink>
          </w:p>
        </w:tc>
      </w:tr>
    </w:tbl>
    <w:p w14:paraId="7C452469" w14:textId="77777777" w:rsidR="00E25FD2" w:rsidRDefault="00000000">
      <w:r>
        <w:t>Canary Current LME_027, retained project LME geometry. The estuary is located near the southern end of this much larger marine region.</w:t>
      </w:r>
    </w:p>
    <w:p w14:paraId="0392C782" w14:textId="77777777" w:rsidR="00E25FD2" w:rsidRDefault="00000000">
      <w:pPr>
        <w:pStyle w:val="21"/>
        <w:pageBreakBefore/>
      </w:pPr>
      <w:r>
        <w:lastRenderedPageBreak/>
        <w:t>Study area in the article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37"/>
      </w:tblGrid>
      <w:tr w:rsidR="00E25FD2" w14:paraId="62E0E886" w14:textId="77777777">
        <w:trPr>
          <w:cantSplit/>
          <w:tblHeader/>
          <w:jc w:val="center"/>
        </w:trPr>
        <w:tc>
          <w:tcPr>
            <w:tcW w:w="100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5EC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FC8757" w14:textId="77777777" w:rsidR="00E25FD2" w:rsidRDefault="00000000">
            <w:pPr>
              <w:spacing w:after="40"/>
            </w:pPr>
            <w:r>
              <w:rPr>
                <w:b/>
                <w:sz w:val="21"/>
              </w:rPr>
              <w:t>Original thesis study area schematic</w:t>
            </w:r>
          </w:p>
        </w:tc>
      </w:tr>
      <w:tr w:rsidR="00E25FD2" w14:paraId="5A4433CF" w14:textId="77777777">
        <w:trPr>
          <w:cantSplit/>
          <w:jc w:val="center"/>
        </w:trPr>
        <w:tc>
          <w:tcPr>
            <w:tcW w:w="100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45474D" w14:textId="77777777" w:rsidR="00E25FD2" w:rsidRDefault="00000000">
            <w:pPr>
              <w:spacing w:after="40"/>
            </w:pPr>
            <w:r>
              <w:rPr>
                <w:noProof/>
              </w:rPr>
              <w:drawing>
                <wp:inline distT="0" distB="0" distL="0" distR="0" wp14:anchorId="15A80018" wp14:editId="691858C8">
                  <wp:extent cx="5577840" cy="4138397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ource_thesis_Figure2_2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0" cy="41383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CD4105" w14:textId="77777777" w:rsidR="00E25FD2" w:rsidRDefault="00000000">
            <w:hyperlink r:id="rId28">
              <w:r>
                <w:rPr>
                  <w:color w:val="0563C1"/>
                  <w:sz w:val="21"/>
                  <w:u w:val="single"/>
                </w:rPr>
                <w:t>Geographic assessment</w:t>
              </w:r>
            </w:hyperlink>
          </w:p>
        </w:tc>
      </w:tr>
    </w:tbl>
    <w:p w14:paraId="0584619F" w14:textId="77777777" w:rsidR="00E25FD2" w:rsidRDefault="00000000">
      <w:r>
        <w:t>Villanueva thesis (2004), Figure 2.2, printed p. 18 / PDF p. 42: the original Sine-Saloum channel schematic. The frame is not a model boundary.</w:t>
      </w:r>
    </w:p>
    <w:p w14:paraId="42A1C6EF" w14:textId="77777777" w:rsidR="00E25FD2" w:rsidRDefault="00E25FD2"/>
    <w:sectPr w:rsidR="00E25FD2" w:rsidSect="00034616">
      <w:pgSz w:w="11909" w:h="16834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93341655">
    <w:abstractNumId w:val="8"/>
  </w:num>
  <w:num w:numId="2" w16cid:durableId="1918515910">
    <w:abstractNumId w:val="6"/>
  </w:num>
  <w:num w:numId="3" w16cid:durableId="1579899285">
    <w:abstractNumId w:val="5"/>
  </w:num>
  <w:num w:numId="4" w16cid:durableId="215550984">
    <w:abstractNumId w:val="4"/>
  </w:num>
  <w:num w:numId="5" w16cid:durableId="69818878">
    <w:abstractNumId w:val="7"/>
  </w:num>
  <w:num w:numId="6" w16cid:durableId="1686327488">
    <w:abstractNumId w:val="3"/>
  </w:num>
  <w:num w:numId="7" w16cid:durableId="1045981056">
    <w:abstractNumId w:val="2"/>
  </w:num>
  <w:num w:numId="8" w16cid:durableId="1528832892">
    <w:abstractNumId w:val="1"/>
  </w:num>
  <w:num w:numId="9" w16cid:durableId="20965888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1446A"/>
    <w:rsid w:val="00AA1D8D"/>
    <w:rsid w:val="00B47730"/>
    <w:rsid w:val="00CB0664"/>
    <w:rsid w:val="00E25FD2"/>
    <w:rsid w:val="00EA1C2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B33313"/>
  <w14:defaultImageDpi w14:val="300"/>
  <w15:docId w15:val="{8DD6821C-D399-4237-BE08-B93383FB35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47" w:lineRule="auto"/>
    </w:pPr>
    <w:rPr>
      <w:rFonts w:ascii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160"/>
      <w:outlineLvl w:val="0"/>
    </w:pPr>
    <w:rPr>
      <w:rFonts w:asciiTheme="majorHAnsi" w:eastAsiaTheme="majorEastAsia" w:hAnsiTheme="majorHAnsi" w:cstheme="majorBidi"/>
      <w:b/>
      <w:bCs/>
      <w:color w:val="000000"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160"/>
      <w:outlineLvl w:val="1"/>
    </w:pPr>
    <w:rPr>
      <w:rFonts w:asciiTheme="majorHAnsi" w:eastAsiaTheme="majorEastAsia" w:hAnsiTheme="majorHAnsi" w:cstheme="majorBidi"/>
      <w:b/>
      <w:bCs/>
      <w:color w:val="000000"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כותרת עליונה תו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כותרת תחתונה תו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כותרת 1 תו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כותרת 2 תו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כותרת 3 תו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16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46"/>
      <w:szCs w:val="52"/>
    </w:rPr>
  </w:style>
  <w:style w:type="character" w:customStyle="1" w:styleId="ab">
    <w:name w:val="כותרת טקסט תו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כותרת משנה תו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גוף טקסט תו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גוף טקסט 2 תו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גוף טקסט 3 תו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טקסט מאקרו תו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ציטוט תו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כותרת 4 תו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כותרת 5 תו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כותרת 6 תו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כותרת 7 תו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כותרת 8 תו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כותרת 9 תו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ציטוט חזק תו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-42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0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3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3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4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5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5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6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6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../../sources/Villanueva2004_thesis_29305.pdf" TargetMode="External"/><Relationship Id="rId13" Type="http://schemas.openxmlformats.org/officeDocument/2006/relationships/hyperlink" Target="." TargetMode="External"/><Relationship Id="rId18" Type="http://schemas.openxmlformats.org/officeDocument/2006/relationships/hyperlink" Target="../extracted_tables/evidence/computational_inputs/ADMISSION.json" TargetMode="External"/><Relationship Id="rId26" Type="http://schemas.openxmlformats.org/officeDocument/2006/relationships/hyperlink" Target="../extracted_tables/evidence/evidence/geography/geographic_assessment.json" TargetMode="External"/><Relationship Id="rId3" Type="http://schemas.openxmlformats.org/officeDocument/2006/relationships/styles" Target="styles.xml"/><Relationship Id="rId21" Type="http://schemas.openxmlformats.org/officeDocument/2006/relationships/hyperlink" Target="../../../../CAN-2009/models/27_118_Northwest_Africa_(1987)/model_validation/validation.docx" TargetMode="External"/><Relationship Id="rId7" Type="http://schemas.openxmlformats.org/officeDocument/2006/relationships/hyperlink" Target="../../../../../raw/catch/LME_027.csv.gz" TargetMode="External"/><Relationship Id="rId12" Type="http://schemas.openxmlformats.org/officeDocument/2006/relationships/hyperlink" Target="../extracted_tables/evidence/evidence/identity/Villanueva2005_2171.pdf" TargetMode="External"/><Relationship Id="rId17" Type="http://schemas.openxmlformats.org/officeDocument/2006/relationships/hyperlink" Target="../extracted_tables/thesis/diet_identity_crosswalk.csv" TargetMode="External"/><Relationship Id="rId25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hyperlink" Target="../extracted_tables/thesis/literal_source_extraction.json" TargetMode="External"/><Relationship Id="rId20" Type="http://schemas.openxmlformats.org/officeDocument/2006/relationships/hyperlink" Target="../results/diagnostics/DIRECT_DIAGNOSTICS.md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../../../../../LME_027.xlsx" TargetMode="External"/><Relationship Id="rId11" Type="http://schemas.openxmlformats.org/officeDocument/2006/relationships/hyperlink" Target="../../../../LME027-Villanueva-2004/sources/010056023-adc18d15.pdf" TargetMode="External"/><Relationship Id="rId24" Type="http://schemas.openxmlformats.org/officeDocument/2006/relationships/hyperlink" Target="../extracted_tables/evidence/mapping/allocation_evidence.jso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../extracted_tables/evidence/evidence/identity/identity_review.json" TargetMode="External"/><Relationship Id="rId23" Type="http://schemas.openxmlformats.org/officeDocument/2006/relationships/hyperlink" Target="../extracted_tables/evidence/mapping/taxon_mapping_audit.json" TargetMode="External"/><Relationship Id="rId28" Type="http://schemas.openxmlformats.org/officeDocument/2006/relationships/hyperlink" Target="../extracted_tables/evidence/evidence/geography/geographic_assessment.json" TargetMode="External"/><Relationship Id="rId10" Type="http://schemas.openxmlformats.org/officeDocument/2006/relationships/hyperlink" Target="https://archimer.ifremer.fr/doc/00180/29122/" TargetMode="External"/><Relationship Id="rId19" Type="http://schemas.openxmlformats.org/officeDocument/2006/relationships/hyperlink" Target="../model_notes.md" TargetMode="External"/><Relationship Id="rId4" Type="http://schemas.openxmlformats.org/officeDocument/2006/relationships/settings" Target="settings.xml"/><Relationship Id="rId9" Type="http://schemas.openxmlformats.org/officeDocument/2006/relationships/hyperlink" Target="../../../sources/metadata.json" TargetMode="External"/><Relationship Id="rId14" Type="http://schemas.openxmlformats.org/officeDocument/2006/relationships/hyperlink" Target="../model_notes.md" TargetMode="External"/><Relationship Id="rId22" Type="http://schemas.openxmlformats.org/officeDocument/2006/relationships/hyperlink" Target="taxon_mapping.xlsx" TargetMode="External"/><Relationship Id="rId27" Type="http://schemas.openxmlformats.org/officeDocument/2006/relationships/image" Target="media/image2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4672</Words>
  <Characters>23364</Characters>
  <Application>Microsoft Office Word</Application>
  <DocSecurity>0</DocSecurity>
  <Lines>194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27981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Regional model validation template</dc:title>
  <dc:subject>Concise evidence summary for researcher review</dc:subject>
  <dc:creator/>
  <cp:keywords/>
  <dc:description>generated by python-docx</dc:description>
  <cp:lastModifiedBy>Ido Carmel</cp:lastModifiedBy>
  <cp:revision>2</cp:revision>
  <dcterms:created xsi:type="dcterms:W3CDTF">2013-12-23T23:15:00Z</dcterms:created>
  <dcterms:modified xsi:type="dcterms:W3CDTF">2026-10-08T09:14:00Z</dcterms:modified>
  <cp:category/>
</cp:coreProperties>
</file>