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EA8D" w14:textId="77777777" w:rsidR="00F06535" w:rsidRDefault="00000000">
      <w:pPr>
        <w:pStyle w:val="aa"/>
      </w:pPr>
      <w:r>
        <w:t>Guinea Current model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F06535" w14:paraId="0B751A7A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D0D66" w14:textId="77777777" w:rsidR="00F06535" w:rsidRDefault="00000000">
            <w:pPr>
              <w:keepNext/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7C45E" w14:textId="77777777" w:rsidR="00F06535" w:rsidRDefault="00000000">
            <w:pPr>
              <w:keepNext/>
              <w:spacing w:after="40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F06535" w14:paraId="763FCDC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56302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40F67" w14:textId="77777777" w:rsidR="00F06535" w:rsidRDefault="00000000">
            <w:pPr>
              <w:spacing w:after="40" w:line="240" w:lineRule="auto"/>
            </w:pPr>
            <w:r>
              <w:t xml:space="preserve">Guinea Current, LME_028; Sea Around Us target boundary. </w:t>
            </w:r>
            <w:hyperlink r:id="rId6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 w:rsidR="00F06535" w14:paraId="36A6C856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6A364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6E11C" w14:textId="77777777" w:rsidR="00F06535" w:rsidRDefault="00000000">
            <w:pPr>
              <w:spacing w:after="40" w:line="240" w:lineRule="auto"/>
            </w:pPr>
            <w:r>
              <w:t xml:space="preserve">Sea Around Us v 50.1 catch series, 1950–2019; retained API 88 material dated 3 September 2026. Reference: 2019 landings, including reported/unreported retained catch; discards separate. </w:t>
            </w:r>
            <w:hyperlink r:id="rId7">
              <w:r>
                <w:rPr>
                  <w:color w:val="0563C1"/>
                  <w:u w:val="single"/>
                </w:rPr>
                <w:t>Raw catch</w:t>
              </w:r>
            </w:hyperlink>
            <w:r>
              <w:t xml:space="preserve"> | </w:t>
            </w:r>
            <w:hyperlink r:id="rId8">
              <w:r>
                <w:rPr>
                  <w:color w:val="0563C1"/>
                  <w:u w:val="single"/>
                </w:rPr>
                <w:t>Taxon/TL source</w:t>
              </w:r>
            </w:hyperlink>
          </w:p>
        </w:tc>
      </w:tr>
      <w:tr w:rsidR="00F06535" w14:paraId="6843AED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06AED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2DE38" w14:textId="77777777" w:rsidR="00F06535" w:rsidRDefault="00000000">
            <w:pPr>
              <w:spacing w:after="40" w:line="240" w:lineRule="auto"/>
            </w:pPr>
            <w:r>
              <w:t xml:space="preserve">Guénette &amp; Diallo (2004), Addendum: Modèles de la côte guinéenne, 1985 et 1998, pp.124–159. In Palomares &amp; Pauly (eds.), West African marine ecosystems: models and fisheries impacts, FCRR 12(7). </w:t>
            </w:r>
            <w:hyperlink r:id="rId9" w:anchor="page=128">
              <w:r>
                <w:rPr>
                  <w:color w:val="0563C1"/>
                  <w:u w:val="single"/>
                </w:rPr>
                <w:t>Chapter PDF</w:t>
              </w:r>
            </w:hyperlink>
            <w:r>
              <w:t xml:space="preserve"> | </w:t>
            </w:r>
            <w:hyperlink r:id="rId10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 w:rsidR="00F06535" w14:paraId="04435827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70CD4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3E6A0" w14:textId="77777777" w:rsidR="00F06535" w:rsidRDefault="00000000">
            <w:pPr>
              <w:spacing w:after="40" w:line="240" w:lineRule="auto"/>
            </w:pPr>
            <w:r>
              <w:t xml:space="preserve">Gascuel, Guénette, Diallo &amp; Sidibé (2009), Impact de la pêche sur l’écosystème marin de Guinée – Modélisation EwE 1985/2005, FCRR 17(4), 60 printed pages. The title says 1985/2005; Ecopath construction and Table 3 specify 1985/2004. </w:t>
            </w:r>
            <w:hyperlink r:id="rId11">
              <w:r>
                <w:rPr>
                  <w:color w:val="0563C1"/>
                  <w:u w:val="single"/>
                </w:rPr>
                <w:t>2009 report</w:t>
              </w:r>
            </w:hyperlink>
          </w:p>
        </w:tc>
      </w:tr>
      <w:tr w:rsidR="00F06535" w14:paraId="328F12DD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98359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0A321" w14:textId="77777777" w:rsidR="00F06535" w:rsidRDefault="00000000">
            <w:pPr>
              <w:spacing w:after="40" w:line="240" w:lineRule="auto"/>
            </w:pPr>
            <w:r>
              <w:t xml:space="preserve">28_646_Guinea_(1998); 1998, waters off the Republic of Guinea, 111,932 km². 44 ecological source groups plus synthetic diet_import 45. This is a national coastal/offshore model transferred to the full LME. </w:t>
            </w:r>
            <w:hyperlink r:id="rId12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Model folder</w:t>
              </w:r>
            </w:hyperlink>
          </w:p>
        </w:tc>
      </w:tr>
      <w:tr w:rsidR="00F06535" w14:paraId="13B4F52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37503" w14:textId="77777777" w:rsidR="00F06535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CCDEF" w14:textId="77777777" w:rsidR="00F06535" w:rsidRDefault="00000000">
            <w:pPr>
              <w:spacing w:after="40" w:line="240" w:lineRule="auto"/>
            </w:pPr>
            <w:r>
              <w:t xml:space="preserve">The chapter also presents a 44-group 1985 counterpart derived from balanced 1998, with reconstructed early catches. Stored 28_726_Guinea_(1985) is the distinct 35-group, 42,969 km² shelf revision in the 2009 report. Hash-suffixed copies are extraction identities, not extra baselines. </w:t>
            </w:r>
            <w:hyperlink r:id="rId14">
              <w:r>
                <w:rPr>
                  <w:color w:val="0563C1"/>
                  <w:u w:val="single"/>
                </w:rPr>
                <w:t>Stored 1985 identity</w:t>
              </w:r>
            </w:hyperlink>
          </w:p>
        </w:tc>
      </w:tr>
      <w:tr w:rsidR="00F06535" w14:paraId="1993300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CF2BE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9313F" w14:textId="77777777" w:rsidR="00F06535" w:rsidRDefault="00000000">
            <w:pPr>
              <w:spacing w:after="40" w:line="240" w:lineRule="auto"/>
            </w:pPr>
            <w:r>
              <w:t>Article: ? (separate article-choice rationale unrecorded). Model: recorded rationale is geographic transfer requiring overlap validation. The source supports preferring 1998 over 1985 because contemporary landing/biomass estimates were available; the earlier model has greater catch-reconstruction uncertainty.</w:t>
            </w:r>
          </w:p>
        </w:tc>
      </w:tr>
      <w:tr w:rsidR="00F06535" w14:paraId="5B13674E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5626A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D645B" w14:textId="77777777" w:rsidR="00F06535" w:rsidRDefault="00000000">
            <w:pPr>
              <w:spacing w:after="40" w:line="240" w:lineRule="auto"/>
            </w:pPr>
            <w:r>
              <w:t xml:space="preserve">Accepted canonical parameters retained. Native database JSON differs only in 44 added taxonomy descriptions. Table 9 (p.143/PDF 147) has 13 B/EE values outside strict printed-rounding bounds; PB/QB agree at displayed precision. Oiseaux TL 3.77 differs from accepted calculated 3.545. Coarse diets and reconstructed catch/discards remain limitations. Inherited diet normalization changes cells by at most 3.07×10⁻⁸; default GS, derived BA and import 45 remain accepted conventions. </w:t>
            </w:r>
            <w:hyperlink r:id="rId15">
              <w:r>
                <w:rPr>
                  <w:color w:val="0563C1"/>
                  <w:u w:val="single"/>
                </w:rPr>
                <w:t>Source/runtime comparison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Table9 differences</w:t>
              </w:r>
            </w:hyperlink>
          </w:p>
          <w:p w14:paraId="21BFEDD2" w14:textId="77777777" w:rsidR="00F06535" w:rsidRDefault="00000000">
            <w:r>
              <w:t>Retained departures and evidence limits:</w:t>
            </w:r>
            <w:hyperlink r:id="rId17">
              <w:r>
                <w:rPr>
                  <w:color w:val="0563C1"/>
                  <w:u w:val="single"/>
                </w:rPr>
                <w:t>model notes</w:t>
              </w:r>
            </w:hyperlink>
          </w:p>
        </w:tc>
      </w:tr>
      <w:tr w:rsidR="00F06535" w14:paraId="36110A54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F0942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2EE5C" w14:textId="77777777" w:rsidR="00F06535" w:rsidRDefault="00000000">
            <w:pPr>
              <w:spacing w:after="40" w:line="240" w:lineRule="auto"/>
            </w:pPr>
            <w:r>
              <w:t>OK.</w:t>
            </w:r>
          </w:p>
          <w:p w14:paraId="793F20E7" w14:textId="77777777" w:rsidR="00F06535" w:rsidRDefault="00000000">
            <w:pPr>
              <w:spacing w:after="40" w:line="240" w:lineRule="auto"/>
            </w:pPr>
            <w:r>
              <w:t>No negative SPPR entries across the basal-source columns, including unfished groups.</w:t>
            </w:r>
          </w:p>
          <w:p w14:paraId="05DE23D3" w14:textId="77777777" w:rsidR="00F06535" w:rsidRDefault="00000000">
            <w:pPr>
              <w:spacing w:after="40" w:line="240" w:lineRule="auto"/>
            </w:pPr>
            <w:r>
              <w:t>rho_living = 0.4497; b = 0.3548; Detritus (44) SPPR = 1.7792.</w:t>
            </w:r>
          </w:p>
        </w:tc>
      </w:tr>
      <w:tr w:rsidR="00F06535" w14:paraId="09A7D32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60697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7B309" w14:textId="77777777" w:rsidR="00F06535" w:rsidRDefault="00000000">
            <w:pPr>
              <w:spacing w:after="40" w:line="240" w:lineRule="auto"/>
            </w:pPr>
            <w:r>
              <w:t>WARN: the deep large shark/ray pool has an extreme coefficient; saved annual TE results remain unavailable under the implausibility flags.</w:t>
            </w:r>
          </w:p>
          <w:p w14:paraId="7A9C347C" w14:textId="77777777" w:rsidR="00F06535" w:rsidRDefault="00000000">
            <w:pPr>
              <w:spacing w:after="40" w:line="240" w:lineRule="auto"/>
            </w:pPr>
            <w:r>
              <w:t>No negative SPPR entries across the basal-source columns, including unfished groups.</w:t>
            </w:r>
          </w:p>
          <w:p w14:paraId="55967F8B" w14:textId="77777777" w:rsidR="00F06535" w:rsidRDefault="00000000">
            <w:pPr>
              <w:spacing w:after="40" w:line="240" w:lineRule="auto"/>
            </w:pPr>
            <w:r>
              <w:t>rho_living = 0.7176; Detritus (44) SPPR = 0.4259.</w:t>
            </w:r>
          </w:p>
        </w:tc>
      </w:tr>
      <w:tr w:rsidR="00F06535" w14:paraId="0C6400C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B9ED0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SPPR calculation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20612" w14:textId="77777777" w:rsidR="00F06535" w:rsidRDefault="009B358E">
            <w:pPr>
              <w:spacing w:after="40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Removed groups from calculation:</w:t>
            </w:r>
          </w:p>
          <w:p w14:paraId="18E3A946" w14:textId="5BFA19CE" w:rsidR="009B358E" w:rsidRDefault="009B358E" w:rsidP="009B358E">
            <w:pPr>
              <w:pStyle w:val="ae"/>
              <w:numPr>
                <w:ilvl w:val="0"/>
                <w:numId w:val="10"/>
              </w:numPr>
              <w:spacing w:after="40" w:line="240" w:lineRule="auto"/>
            </w:pPr>
            <w:r w:rsidRPr="009B358E">
              <w:t>Dolphins</w:t>
            </w:r>
            <w:r w:rsidRPr="009B358E">
              <w:t xml:space="preserve"> </w:t>
            </w:r>
            <w:r w:rsidRPr="009B358E">
              <w:t>(GE=</w:t>
            </w:r>
            <w:r>
              <w:t>0.5</w:t>
            </w:r>
            <w:r w:rsidRPr="009B358E">
              <w:t>%, EE=</w:t>
            </w:r>
            <w:r>
              <w:t>0.4</w:t>
            </w:r>
            <w:r w:rsidRPr="009B358E">
              <w:t>, TL=</w:t>
            </w:r>
            <w:r>
              <w:t>4.7</w:t>
            </w:r>
            <w:r w:rsidRPr="009B358E">
              <w:t xml:space="preserve">, </w:t>
            </w:r>
            <w:proofErr w:type="spellStart"/>
            <w:r w:rsidRPr="009B358E">
              <w:t>sppr_TE</w:t>
            </w:r>
            <w:proofErr w:type="spellEnd"/>
            <w:r w:rsidRPr="009B358E">
              <w:t>=</w:t>
            </w:r>
            <w:r>
              <w:t>500K</w:t>
            </w:r>
            <w:r w:rsidRPr="009B358E">
              <w:t xml:space="preserve">, </w:t>
            </w:r>
            <w:proofErr w:type="spellStart"/>
            <w:r w:rsidRPr="009B358E">
              <w:t>sppr_GE</w:t>
            </w:r>
            <w:proofErr w:type="spellEnd"/>
            <w:r w:rsidRPr="009B358E">
              <w:t>=</w:t>
            </w:r>
            <w:r>
              <w:t>100</w:t>
            </w:r>
            <w:r w:rsidRPr="009B358E">
              <w:t>K)</w:t>
            </w:r>
          </w:p>
          <w:p w14:paraId="5A28673C" w14:textId="6901EBE7" w:rsidR="009B358E" w:rsidRDefault="009B358E" w:rsidP="009B358E">
            <w:pPr>
              <w:pStyle w:val="ae"/>
              <w:numPr>
                <w:ilvl w:val="0"/>
                <w:numId w:val="10"/>
              </w:numPr>
              <w:spacing w:after="40" w:line="240" w:lineRule="auto"/>
            </w:pPr>
            <w:r w:rsidRPr="009B358E">
              <w:t>Birds</w:t>
            </w:r>
            <w:r w:rsidRPr="009B358E">
              <w:t xml:space="preserve"> </w:t>
            </w:r>
            <w:r w:rsidRPr="009B358E">
              <w:t>(GE=</w:t>
            </w:r>
            <w:r>
              <w:t>0.3</w:t>
            </w:r>
            <w:r w:rsidRPr="009B358E">
              <w:t>%, EE=</w:t>
            </w:r>
            <w:r>
              <w:t>0.36</w:t>
            </w:r>
            <w:r w:rsidRPr="009B358E">
              <w:t>, TL=</w:t>
            </w:r>
            <w:r>
              <w:t>3.5</w:t>
            </w:r>
            <w:r w:rsidRPr="009B358E">
              <w:t xml:space="preserve">, </w:t>
            </w:r>
            <w:proofErr w:type="spellStart"/>
            <w:r w:rsidRPr="009B358E">
              <w:t>sppr_TE</w:t>
            </w:r>
            <w:proofErr w:type="spellEnd"/>
            <w:r w:rsidRPr="009B358E">
              <w:t>=</w:t>
            </w:r>
            <w:r>
              <w:t>345K</w:t>
            </w:r>
            <w:r w:rsidRPr="009B358E">
              <w:t xml:space="preserve">, </w:t>
            </w:r>
            <w:proofErr w:type="spellStart"/>
            <w:r w:rsidRPr="009B358E">
              <w:t>sppr_GE</w:t>
            </w:r>
            <w:proofErr w:type="spellEnd"/>
            <w:r w:rsidRPr="009B358E">
              <w:t>=</w:t>
            </w:r>
            <w:r>
              <w:t>66K</w:t>
            </w:r>
            <w:r w:rsidRPr="009B358E">
              <w:t>)</w:t>
            </w:r>
          </w:p>
          <w:p w14:paraId="03090726" w14:textId="5904194F" w:rsidR="009B358E" w:rsidRDefault="009B358E" w:rsidP="009B358E">
            <w:pPr>
              <w:pStyle w:val="ae"/>
              <w:numPr>
                <w:ilvl w:val="0"/>
                <w:numId w:val="10"/>
              </w:numPr>
              <w:spacing w:after="40" w:line="240" w:lineRule="auto"/>
            </w:pPr>
            <w:r w:rsidRPr="009B358E">
              <w:t>Whales</w:t>
            </w:r>
            <w:r w:rsidRPr="009B358E">
              <w:t xml:space="preserve"> </w:t>
            </w:r>
            <w:r w:rsidRPr="009B358E">
              <w:t>(GE=</w:t>
            </w:r>
            <w:r>
              <w:t>0.4</w:t>
            </w:r>
            <w:r w:rsidRPr="009B358E">
              <w:t>%, EE=</w:t>
            </w:r>
            <w:r>
              <w:t>0.5</w:t>
            </w:r>
            <w:r w:rsidRPr="009B358E">
              <w:t>, TL=</w:t>
            </w:r>
            <w:r>
              <w:t>4.0</w:t>
            </w:r>
            <w:r w:rsidRPr="009B358E">
              <w:t xml:space="preserve">, </w:t>
            </w:r>
            <w:proofErr w:type="spellStart"/>
            <w:r w:rsidRPr="009B358E">
              <w:t>sppr_TE</w:t>
            </w:r>
            <w:proofErr w:type="spellEnd"/>
            <w:r w:rsidRPr="009B358E">
              <w:t>=</w:t>
            </w:r>
            <w:r>
              <w:t>275K</w:t>
            </w:r>
            <w:r w:rsidRPr="009B358E">
              <w:t xml:space="preserve">, </w:t>
            </w:r>
            <w:proofErr w:type="spellStart"/>
            <w:r w:rsidRPr="009B358E">
              <w:t>sppr_GE</w:t>
            </w:r>
            <w:proofErr w:type="spellEnd"/>
            <w:r w:rsidRPr="009B358E">
              <w:t>=</w:t>
            </w:r>
            <w:r>
              <w:t>66</w:t>
            </w:r>
            <w:r w:rsidRPr="009B358E">
              <w:t>K)</w:t>
            </w:r>
          </w:p>
        </w:tc>
      </w:tr>
      <w:tr w:rsidR="00F06535" w14:paraId="6C38360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E2F60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C7458" w14:textId="77777777" w:rsidR="00F06535" w:rsidRDefault="00000000">
            <w:pPr>
              <w:spacing w:after="40" w:line="240" w:lineRule="auto"/>
            </w:pPr>
            <w:r>
              <w:t>Approximate A: 5.0–7.0% of the region covered by the study. B: 95–100% of the study inside the region.</w:t>
            </w:r>
          </w:p>
        </w:tc>
      </w:tr>
      <w:tr w:rsidR="00F06535" w14:paraId="37774EF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E61A5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4D75F" w14:textId="77777777" w:rsidR="00F06535" w:rsidRDefault="00000000">
            <w:pPr>
              <w:spacing w:after="40" w:line="240" w:lineRule="auto"/>
            </w:pPr>
            <w:r>
              <w:t>Static 1998 coefficients and historical mixture weights are applied across 1950–2019. The reference year is 21 years later; annual ecosystem/fleet changes are not reconstructed.</w:t>
            </w:r>
          </w:p>
        </w:tc>
      </w:tr>
      <w:tr w:rsidR="00F06535" w14:paraId="05FD4274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C8848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5215A" w14:textId="77777777" w:rsidR="00F06535" w:rsidRDefault="00000000">
            <w:pPr>
              <w:spacing w:after="40" w:line="240" w:lineRule="auto"/>
            </w:pPr>
            <w:r>
              <w:t xml:space="preserve">TE retains its implausibility warning: the deep large shark/ray pool has an extreme coefficient. Symbolic negative-source failures, Monte Carlo implausibility flags and unavailable source decompositions remain. Full catch mapping does not establish whole-LME ecological validity. </w:t>
            </w:r>
            <w:hyperlink r:id="rId18">
              <w:r>
                <w:rPr>
                  <w:color w:val="0563C1"/>
                  <w:u w:val="single"/>
                </w:rPr>
                <w:t>Method-specific exposure</w:t>
              </w:r>
            </w:hyperlink>
          </w:p>
        </w:tc>
      </w:tr>
      <w:tr w:rsidR="00F06535" w14:paraId="3356770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B1DED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7F95E" w14:textId="77777777" w:rsidR="00F06535" w:rsidRDefault="00000000">
            <w:pPr>
              <w:spacing w:after="40"/>
            </w:pPr>
            <w:r>
              <w:rPr>
                <w:sz w:val="21"/>
              </w:rPr>
              <w:t>[Researcher: open issues and next actions]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</w:p>
        </w:tc>
      </w:tr>
      <w:tr w:rsidR="00F06535" w14:paraId="09215D6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1D06B" w14:textId="77777777" w:rsidR="00F06535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7737F" w14:textId="13291943" w:rsidR="009B358E" w:rsidRDefault="009B358E" w:rsidP="009B358E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Researcher name: Ido Carmel | review date: </w:t>
            </w:r>
            <w:r>
              <w:rPr>
                <w:sz w:val="21"/>
              </w:rPr>
              <w:t>08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/2026</w:t>
            </w:r>
          </w:p>
          <w:p w14:paraId="3F96B989" w14:textId="77777777" w:rsidR="009B358E" w:rsidRDefault="009B358E" w:rsidP="009B358E">
            <w:pPr>
              <w:spacing w:after="40"/>
              <w:rPr>
                <w:sz w:val="21"/>
              </w:rPr>
            </w:pPr>
          </w:p>
          <w:p w14:paraId="0745502C" w14:textId="145893EA" w:rsidR="00F06535" w:rsidRDefault="009B358E" w:rsidP="009B358E">
            <w:pPr>
              <w:spacing w:after="40"/>
            </w:pPr>
            <w:r w:rsidRPr="000C5A17">
              <w:rPr>
                <w:b/>
                <w:bCs/>
                <w:sz w:val="21"/>
              </w:rPr>
              <w:t>MODEL VALIDATED</w:t>
            </w:r>
          </w:p>
        </w:tc>
      </w:tr>
    </w:tbl>
    <w:p w14:paraId="60094C2D" w14:textId="77777777" w:rsidR="00F06535" w:rsidRDefault="00000000">
      <w:pPr>
        <w:pStyle w:val="1"/>
      </w:pPr>
      <w:r>
        <w:t>Taxon mapping and coverage</w:t>
      </w:r>
    </w:p>
    <w:p w14:paraId="5FBC3BAE" w14:textId="77777777" w:rsidR="00F06535" w:rsidRDefault="00000000">
      <w:pPr>
        <w:spacing w:after="120"/>
      </w:pPr>
      <w:r>
        <w:t>Reference: 2019 landings; all exact catch labels, including unidentified and zero-catch records; no taxon or group filter.</w:t>
      </w:r>
    </w:p>
    <w:p w14:paraId="534A5A2D" w14:textId="77777777" w:rsidR="00F06535" w:rsidRDefault="00000000">
      <w:pPr>
        <w:spacing w:after="120"/>
      </w:pPr>
      <w:r>
        <w:t>44 source ecological groups (+1 computational import); 375 catch labels.</w:t>
      </w:r>
    </w:p>
    <w:p w14:paraId="667253A0" w14:textId="77777777" w:rsidR="00F06535" w:rsidRDefault="00000000">
      <w:pPr>
        <w:spacing w:after="120"/>
      </w:pPr>
      <w:r>
        <w:t>Simple-chain PPR totals 202,194,055.86 t C in 2019.</w:t>
      </w:r>
    </w:p>
    <w:p w14:paraId="4AFF14D0" w14:textId="77777777" w:rsidR="00F06535" w:rsidRDefault="00000000">
      <w:pPr>
        <w:spacing w:after="120"/>
      </w:pPr>
      <w:r>
        <w:t>50 labels lack a saved classic coefficient/TL; all have zero 2019 landings and therefore zero annual PPR. Unavailable TL remains ?, not zero.</w:t>
      </w:r>
    </w:p>
    <w:p w14:paraId="36CE5AC9" w14:textId="77777777" w:rsidR="00F06535" w:rsidRDefault="00000000">
      <w:pPr>
        <w:spacing w:after="120"/>
      </w:pPr>
      <w:r>
        <w:t>Method: independent classic/simple trophic chain using the saved taxon coefficient.</w:t>
      </w:r>
    </w:p>
    <w:p w14:paraId="257DA817" w14:textId="77777777" w:rsidR="00F06535" w:rsidRDefault="00000000">
      <w:pPr>
        <w:spacing w:after="120"/>
      </w:pPr>
      <w:hyperlink r:id="rId19">
        <w:r>
          <w:rPr>
            <w:color w:val="0563C1"/>
            <w:u w:val="single"/>
          </w:rPr>
          <w:t>Full taxon mapping appendix</w:t>
        </w:r>
      </w:hyperlink>
      <w:r>
        <w:t xml:space="preserve"> and </w:t>
      </w:r>
      <w:hyperlink r:id="rId20" w:anchor="Sources%21A1">
        <w:r>
          <w:rPr>
            <w:color w:val="0563C1"/>
            <w:u w:val="single"/>
          </w:rPr>
          <w:t>descriptive Sources sheet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F06535" w14:paraId="62ED0723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A63061" w14:textId="77777777" w:rsidR="00F06535" w:rsidRDefault="00000000">
            <w:pPr>
              <w:keepNext/>
              <w:spacing w:before="40" w:after="40"/>
            </w:pPr>
            <w:r>
              <w:rPr>
                <w:b/>
                <w:color w:val="000000"/>
                <w:sz w:val="20"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9AD1A7" w14:textId="77777777" w:rsidR="00F06535" w:rsidRDefault="00000000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Taxa (n)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69DA64" w14:textId="77777777" w:rsidR="00F06535" w:rsidRDefault="00000000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Catch (%)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C2FA8" w14:textId="77777777" w:rsidR="00F06535" w:rsidRDefault="00000000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Simple-chain PPR (%)</w:t>
            </w:r>
          </w:p>
        </w:tc>
      </w:tr>
      <w:tr w:rsidR="00F06535" w14:paraId="129155D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37B204" w14:textId="77777777" w:rsidR="00F06535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5174D" w14:textId="77777777" w:rsidR="00F06535" w:rsidRDefault="00000000">
            <w:pPr>
              <w:spacing w:before="40" w:after="40"/>
              <w:jc w:val="center"/>
            </w:pPr>
            <w:r>
              <w:t>159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4BA244" w14:textId="77777777" w:rsidR="00F06535" w:rsidRDefault="00000000">
            <w:pPr>
              <w:spacing w:before="40" w:after="40"/>
              <w:jc w:val="center"/>
            </w:pPr>
            <w:r>
              <w:t>37%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9CD481" w14:textId="77777777" w:rsidR="00F06535" w:rsidRDefault="00000000">
            <w:pPr>
              <w:spacing w:before="40" w:after="40"/>
              <w:jc w:val="center"/>
            </w:pPr>
            <w:r>
              <w:t>51%</w:t>
            </w:r>
          </w:p>
        </w:tc>
      </w:tr>
      <w:tr w:rsidR="00F06535" w14:paraId="59445C6B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71868" w14:textId="77777777" w:rsidR="00F06535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903EEB" w14:textId="77777777" w:rsidR="00F06535" w:rsidRDefault="00000000">
            <w:pPr>
              <w:spacing w:before="40" w:after="40"/>
              <w:jc w:val="center"/>
            </w:pPr>
            <w:r>
              <w:t>107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CAC85C" w14:textId="77777777" w:rsidR="00F06535" w:rsidRDefault="00000000">
            <w:pPr>
              <w:spacing w:before="40" w:after="40"/>
              <w:jc w:val="center"/>
            </w:pPr>
            <w:r>
              <w:t>17%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756F86" w14:textId="77777777" w:rsidR="00F06535" w:rsidRDefault="00000000">
            <w:pPr>
              <w:spacing w:before="40" w:after="40"/>
              <w:jc w:val="center"/>
            </w:pPr>
            <w:r>
              <w:t>24%</w:t>
            </w:r>
          </w:p>
        </w:tc>
      </w:tr>
      <w:tr w:rsidR="00F06535" w14:paraId="767AFC6A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9A4E90" w14:textId="77777777" w:rsidR="00F06535" w:rsidRDefault="00000000">
            <w:pPr>
              <w:spacing w:before="40" w:after="40"/>
            </w:pPr>
            <w: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C4AE0C" w14:textId="77777777" w:rsidR="00F06535" w:rsidRDefault="00000000">
            <w:pPr>
              <w:spacing w:before="40" w:after="40"/>
              <w:jc w:val="center"/>
            </w:pPr>
            <w:r>
              <w:t>32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55E3FE" w14:textId="77777777" w:rsidR="00F06535" w:rsidRDefault="00000000">
            <w:pPr>
              <w:spacing w:before="40" w:after="40"/>
              <w:jc w:val="center"/>
            </w:pPr>
            <w:r>
              <w:t>7.0%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1854D3" w14:textId="77777777" w:rsidR="00F06535" w:rsidRDefault="00000000">
            <w:pPr>
              <w:spacing w:before="40" w:after="40"/>
              <w:jc w:val="center"/>
            </w:pPr>
            <w:r>
              <w:t>9.3%</w:t>
            </w:r>
          </w:p>
        </w:tc>
      </w:tr>
      <w:tr w:rsidR="00F06535" w14:paraId="352E4AF3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325F93" w14:textId="77777777" w:rsidR="00F06535" w:rsidRDefault="00000000">
            <w:pPr>
              <w:spacing w:before="40" w:after="40"/>
            </w:pPr>
            <w: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8967FE" w14:textId="77777777" w:rsidR="00F06535" w:rsidRDefault="00000000">
            <w:pPr>
              <w:spacing w:before="40" w:after="40"/>
              <w:jc w:val="center"/>
            </w:pPr>
            <w:r>
              <w:t>77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729BB" w14:textId="77777777" w:rsidR="00F06535" w:rsidRDefault="00000000">
            <w:pPr>
              <w:spacing w:before="40" w:after="40"/>
              <w:jc w:val="center"/>
            </w:pPr>
            <w:r>
              <w:t>38%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B8B616" w14:textId="77777777" w:rsidR="00F06535" w:rsidRDefault="00000000">
            <w:pPr>
              <w:spacing w:before="40" w:after="40"/>
              <w:jc w:val="center"/>
            </w:pPr>
            <w:r>
              <w:t>16%</w:t>
            </w:r>
          </w:p>
        </w:tc>
      </w:tr>
      <w:tr w:rsidR="00F06535" w14:paraId="20BCE12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E27C4" w14:textId="77777777" w:rsidR="00F06535" w:rsidRDefault="00000000">
            <w:pPr>
              <w:spacing w:before="40" w:after="40"/>
            </w:pPr>
            <w: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485BB9" w14:textId="77777777" w:rsidR="00F06535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F3BA06" w14:textId="77777777" w:rsidR="00F06535" w:rsidRDefault="00000000">
            <w:pPr>
              <w:spacing w:before="40" w:after="40"/>
              <w:jc w:val="center"/>
            </w:pPr>
            <w:r>
              <w:t>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44EB8" w14:textId="77777777" w:rsidR="00F06535" w:rsidRDefault="00000000">
            <w:pPr>
              <w:spacing w:before="40" w:after="40"/>
              <w:jc w:val="center"/>
            </w:pPr>
            <w:r>
              <w:t>0%</w:t>
            </w:r>
          </w:p>
        </w:tc>
      </w:tr>
    </w:tbl>
    <w:p w14:paraId="091770C4" w14:textId="77777777" w:rsidR="00F06535" w:rsidRDefault="00000000">
      <w:pPr>
        <w:spacing w:after="120"/>
      </w:pPr>
      <w:r>
        <w:t>Overall confidence uses the weaker required membership or allocation component.</w:t>
      </w:r>
    </w:p>
    <w:p w14:paraId="634DB484" w14:textId="77777777" w:rsidR="00F06535" w:rsidRDefault="00000000">
      <w:pPr>
        <w:pStyle w:val="21"/>
      </w:pPr>
      <w:r>
        <w:lastRenderedPageBreak/>
        <w:t>Group assignment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F06535" w14:paraId="14254017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131754" w14:textId="77777777" w:rsidR="00F06535" w:rsidRDefault="00000000">
            <w:pPr>
              <w:keepNext/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72B027" w14:textId="77777777" w:rsidR="00F06535" w:rsidRDefault="00000000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DCC2AD" w14:textId="77777777" w:rsidR="00F06535" w:rsidRDefault="00000000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F06535" w14:paraId="48C1134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1872A4" w14:textId="77777777" w:rsidR="00F06535" w:rsidRDefault="00000000">
            <w:pPr>
              <w:spacing w:before="40" w:after="40"/>
            </w:pPr>
            <w:r>
              <w:t>Exact source member in every documented applicable group.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2F7EF" w14:textId="77777777" w:rsidR="00F06535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1E7D7D" w14:textId="77777777" w:rsidR="00F06535" w:rsidRDefault="00000000">
            <w:pPr>
              <w:spacing w:before="40" w:after="40"/>
              <w:jc w:val="center"/>
            </w:pPr>
            <w:r>
              <w:t>49%</w:t>
            </w:r>
          </w:p>
        </w:tc>
      </w:tr>
      <w:tr w:rsidR="00F06535" w14:paraId="5ABC07B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0E6A95" w14:textId="77777777" w:rsidR="00F06535" w:rsidRDefault="00000000">
            <w:pPr>
              <w:spacing w:before="40" w:after="40"/>
            </w:pPr>
            <w:r>
              <w:t>Complete actual source representative union supports a higher label or stage mixture; local composition inferred.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BA866" w14:textId="77777777" w:rsidR="00F06535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183BD4" w14:textId="77777777" w:rsidR="00F06535" w:rsidRDefault="00000000">
            <w:pPr>
              <w:spacing w:before="40" w:after="40"/>
              <w:jc w:val="center"/>
            </w:pPr>
            <w:r>
              <w:t>30%</w:t>
            </w:r>
          </w:p>
        </w:tc>
      </w:tr>
      <w:tr w:rsidR="00F06535" w14:paraId="6ECC9F1A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80A6D5" w14:textId="77777777" w:rsidR="00F06535" w:rsidRDefault="00000000">
            <w:pPr>
              <w:spacing w:before="40" w:after="40"/>
            </w:pPr>
            <w:r>
              <w:t>Broad reporting category approximated over compatible named and residual source pools; caught composition unknown.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8D31CA" w14:textId="77777777" w:rsidR="00F06535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BBE854" w14:textId="77777777" w:rsidR="00F06535" w:rsidRDefault="00000000">
            <w:pPr>
              <w:spacing w:before="40" w:after="40"/>
              <w:jc w:val="center"/>
            </w:pPr>
            <w:r>
              <w:t>15%</w:t>
            </w:r>
          </w:p>
        </w:tc>
      </w:tr>
      <w:tr w:rsidR="00F06535" w14:paraId="690E5487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09850" w14:textId="77777777" w:rsidR="00F06535" w:rsidRDefault="00000000">
            <w:pPr>
              <w:spacing w:before="40" w:after="40"/>
            </w:pPr>
            <w:r>
              <w:t>Taxonomic extension from source congeneric representatives; unlisted membership assumed.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E0163F" w14:textId="77777777" w:rsidR="00F06535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238EA" w14:textId="77777777" w:rsidR="00F06535" w:rsidRDefault="00000000">
            <w:pPr>
              <w:spacing w:before="40" w:after="40"/>
              <w:jc w:val="center"/>
            </w:pPr>
            <w:r>
              <w:t>3.0%</w:t>
            </w:r>
          </w:p>
        </w:tc>
      </w:tr>
      <w:tr w:rsidR="00F06535" w14:paraId="5DC4BBF1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DB1FB" w14:textId="77777777" w:rsidR="00F06535" w:rsidRDefault="00000000">
            <w:pPr>
              <w:spacing w:before="40" w:after="40"/>
            </w:pPr>
            <w:r>
              <w:t>Verified taxon fits the explicit source compartment without a competing specific placement.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31DC74" w14:textId="77777777" w:rsidR="00F06535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E301B1" w14:textId="77777777" w:rsidR="00F06535" w:rsidRDefault="00000000">
            <w:pPr>
              <w:spacing w:before="40" w:after="40"/>
              <w:jc w:val="center"/>
            </w:pPr>
            <w:r>
              <w:t>1.3%</w:t>
            </w:r>
          </w:p>
        </w:tc>
      </w:tr>
      <w:tr w:rsidR="00F06535" w14:paraId="027EBF30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6AE1D1" w14:textId="77777777" w:rsidR="00F06535" w:rsidRDefault="00000000">
            <w:pPr>
              <w:spacing w:before="40" w:after="40"/>
            </w:pPr>
            <w:r>
              <w:t>Closest positive taxonomic or habitat analogue; unrepresented habitat, size or taxon mismatch disclosed.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6603E4" w14:textId="77777777" w:rsidR="00F06535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B00A0F" w14:textId="77777777" w:rsidR="00F06535" w:rsidRDefault="00000000">
            <w:pPr>
              <w:spacing w:before="40" w:after="40"/>
              <w:jc w:val="center"/>
            </w:pPr>
            <w:r>
              <w:t>0.60%</w:t>
            </w:r>
          </w:p>
        </w:tc>
      </w:tr>
      <w:tr w:rsidR="00F06535" w14:paraId="018433AD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7950D4" w14:textId="77777777" w:rsidR="00F06535" w:rsidRDefault="00000000">
            <w:pPr>
              <w:spacing w:before="40" w:after="40"/>
            </w:pPr>
            <w:r>
              <w:t>Verified accepted synonym connects the catch label to a printed member.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EBE4A" w14:textId="77777777" w:rsidR="00F06535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771597" w14:textId="77777777" w:rsidR="00F06535" w:rsidRDefault="00000000">
            <w:pPr>
              <w:spacing w:before="40" w:after="40"/>
              <w:jc w:val="center"/>
            </w:pPr>
            <w:r>
              <w:t>0.41%</w:t>
            </w:r>
          </w:p>
        </w:tc>
      </w:tr>
    </w:tbl>
    <w:p w14:paraId="47BF23F4" w14:textId="77777777" w:rsidR="00F06535" w:rsidRDefault="00000000">
      <w:pPr>
        <w:spacing w:after="120"/>
      </w:pPr>
      <w:r>
        <w:t xml:space="preserve">Membership evidence: </w:t>
      </w:r>
      <w:hyperlink r:id="rId21">
        <w:r>
          <w:rPr>
            <w:color w:val="0563C1"/>
            <w:u w:val="single"/>
          </w:rPr>
          <w:t>source members, taxonomy and complete candidate decisions</w:t>
        </w:r>
      </w:hyperlink>
      <w:r>
        <w:t xml:space="preserve"> Broad bony fish includes named stocks and deep/pelagic members; dedicated cartilage groups are excluded. Elasmobranchii excludes chimaeras. Broad invertebrate sets review actual euphausiids, benthos and larval stages. Scaridae denotes the historical parrotfish family, now Scarinae within Labridae; the genus-misspelling homonym is excluded. </w:t>
      </w:r>
      <w:hyperlink r:id="rId22">
        <w:r>
          <w:rPr>
            <w:color w:val="0563C1"/>
            <w:u w:val="single"/>
          </w:rPr>
          <w:t>Scaridae rank bridge</w:t>
        </w:r>
      </w:hyperlink>
    </w:p>
    <w:p w14:paraId="0AD312A6" w14:textId="77777777" w:rsidR="00F06535" w:rsidRDefault="00000000">
      <w:pPr>
        <w:pStyle w:val="21"/>
      </w:pPr>
      <w:r>
        <w:t>Allocation weight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F06535" w14:paraId="36407D14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7F226D" w14:textId="77777777" w:rsidR="00F06535" w:rsidRDefault="00000000">
            <w:pPr>
              <w:keepNext/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88B4F" w14:textId="77777777" w:rsidR="00F06535" w:rsidRDefault="00000000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53C21" w14:textId="77777777" w:rsidR="00F06535" w:rsidRDefault="00000000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F06535" w14:paraId="6E5A380B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0B3FDB" w14:textId="77777777" w:rsidR="00F06535" w:rsidRDefault="00000000">
            <w:pPr>
              <w:spacing w:before="40" w:after="40"/>
            </w:pPr>
            <w:r>
              <w:t>One reviewed group; no numerical split.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9D9B5C" w14:textId="77777777" w:rsidR="00F06535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5DFA5A" w14:textId="77777777" w:rsidR="00F06535" w:rsidRDefault="00000000">
            <w:pPr>
              <w:spacing w:before="40" w:after="40"/>
              <w:jc w:val="center"/>
            </w:pPr>
            <w:r>
              <w:t>75%</w:t>
            </w:r>
          </w:p>
        </w:tc>
      </w:tr>
      <w:tr w:rsidR="00F06535" w14:paraId="763314D1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24E6AC" w14:textId="77777777" w:rsidR="00F06535" w:rsidRDefault="00000000">
            <w:pPr>
              <w:spacing w:before="40" w:after="40"/>
            </w:pPr>
            <w:r>
              <w:t>Complete accepted 1998 group-export catch proportions; historical mixture/catchability assumed.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B224E2" w14:textId="77777777" w:rsidR="00F06535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3DC81E" w14:textId="77777777" w:rsidR="00F06535" w:rsidRDefault="00000000">
            <w:pPr>
              <w:spacing w:before="40" w:after="40"/>
              <w:jc w:val="center"/>
            </w:pPr>
            <w:r>
              <w:t>16%</w:t>
            </w:r>
          </w:p>
        </w:tc>
      </w:tr>
      <w:tr w:rsidR="00F06535" w14:paraId="35582522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B281C0" w14:textId="77777777" w:rsidR="00F06535" w:rsidRDefault="00000000">
            <w:pPr>
              <w:spacing w:before="40" w:after="40"/>
            </w:pPr>
            <w:r>
              <w:t>Retained whole-period single-group donor total-catch proxy; reporting/population mismatch assessed separately.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2864E9" w14:textId="77777777" w:rsidR="00F06535" w:rsidRDefault="00000000">
            <w:pPr>
              <w:spacing w:before="40" w:after="40"/>
              <w:jc w:val="center"/>
            </w:pPr>
            <w:r>
              <w:t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B42765" w14:textId="77777777" w:rsidR="00F06535" w:rsidRDefault="00000000">
            <w:pPr>
              <w:spacing w:before="40" w:after="40"/>
              <w:jc w:val="center"/>
            </w:pPr>
            <w:r>
              <w:t>9.5%</w:t>
            </w:r>
          </w:p>
        </w:tc>
      </w:tr>
    </w:tbl>
    <w:p w14:paraId="11956238" w14:textId="77777777" w:rsidR="00F06535" w:rsidRDefault="00000000">
      <w:pPr>
        <w:spacing w:after="120"/>
      </w:pPr>
      <w:r>
        <w:t xml:space="preserve">All 71 split labels retain explicit assumptions: 37 use complete 1998 model catch proportions; 34 retain historical donor total-catch weights at Low confidence. These mixtures are transferred across 1950–2019 and catch bases. </w:t>
      </w:r>
      <w:hyperlink r:id="rId23">
        <w:r>
          <w:rPr>
            <w:color w:val="0563C1"/>
            <w:u w:val="single"/>
          </w:rPr>
          <w:t>Allocation and donor applicability evidence</w:t>
        </w:r>
      </w:hyperlink>
    </w:p>
    <w:p w14:paraId="2AE5C228" w14:textId="77777777" w:rsidR="00F06535" w:rsidRDefault="00000000">
      <w:r>
        <w:t>Each rule percentage is the share of independent simple-chain PPR associated with taxa using that rule.</w:t>
      </w:r>
    </w:p>
    <w:p w14:paraId="4B563AC4" w14:textId="77777777" w:rsidR="00F06535" w:rsidRDefault="00000000">
      <w:pPr>
        <w:spacing w:after="120"/>
      </w:pPr>
      <w:r>
        <w:t>No unresolved taxa remain. The 77 Very low decisions cover 38.4107% of landings and 15.6210% of simple-chain PPR; the table below identifies the source-definition, composition and analogue uncertainties.</w:t>
      </w:r>
    </w:p>
    <w:p w14:paraId="461960EC" w14:textId="77777777" w:rsidR="00F06535" w:rsidRDefault="00000000">
      <w:pPr>
        <w:pStyle w:val="21"/>
      </w:pPr>
      <w:r>
        <w:lastRenderedPageBreak/>
        <w:t>Very low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8"/>
        <w:gridCol w:w="6710"/>
      </w:tblGrid>
      <w:tr w:rsidR="00F06535" w14:paraId="1868C607" w14:textId="77777777">
        <w:trPr>
          <w:cantSplit/>
          <w:tblHeader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810E7" w14:textId="77777777" w:rsidR="00F06535" w:rsidRDefault="00000000">
            <w:pPr>
              <w:keepNext/>
              <w:spacing w:after="40"/>
            </w:pPr>
            <w:r>
              <w:rPr>
                <w:b/>
                <w:sz w:val="21"/>
              </w:rPr>
              <w:t>Affected taxa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D5F97" w14:textId="77777777" w:rsidR="00F06535" w:rsidRDefault="00000000">
            <w:pPr>
              <w:keepNext/>
              <w:spacing w:after="40"/>
            </w:pPr>
            <w:r>
              <w:rPr>
                <w:b/>
                <w:sz w:val="21"/>
              </w:rPr>
              <w:t>Why confidence is very low</w:t>
            </w:r>
          </w:p>
        </w:tc>
      </w:tr>
      <w:tr w:rsidR="00F06535" w14:paraId="35A6796C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1A76E" w14:textId="77777777" w:rsidR="00F06535" w:rsidRDefault="00000000">
            <w:pPr>
              <w:spacing w:after="40"/>
            </w:pPr>
            <w:r>
              <w:rPr>
                <w:sz w:val="21"/>
              </w:rPr>
              <w:t>Actinopterygii; Marine finfishes not identified; Marine 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0D2DF" w14:textId="77777777" w:rsidR="00F06535" w:rsidRDefault="00000000">
            <w:pPr>
              <w:spacing w:after="40"/>
            </w:pPr>
            <w:r>
              <w:rPr>
                <w:sz w:val="21"/>
              </w:rPr>
              <w:t>All 29 bony-fish pools include named stocks, pelagic and deep guilds; dedicated cartilage pools are excluded. Actual caught composition is unknown. Complete 1998 model catch proportions are a whole-guild proxy transferred across 1950–2019 and catch bases.</w:t>
            </w:r>
          </w:p>
        </w:tc>
      </w:tr>
      <w:tr w:rsidR="00F06535" w14:paraId="4874BBDE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CF7DB" w14:textId="77777777" w:rsidR="00F06535" w:rsidRDefault="00000000">
            <w:pPr>
              <w:spacing w:after="40"/>
            </w:pPr>
            <w:r>
              <w:rPr>
                <w:sz w:val="21"/>
              </w:rPr>
              <w:t>Scombroidei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D5B50" w14:textId="77777777" w:rsidR="00F06535" w:rsidRDefault="00000000">
            <w:pPr>
              <w:spacing w:after="40"/>
            </w:pPr>
            <w:r>
              <w:rPr>
                <w:sz w:val="21"/>
              </w:rPr>
              <w:t>Historical reporting boundaries span named and residual source fishes but differ from modern taxonomy. The actual species mixture is unknown. The source-member union and complete 1998 group catch proportions are assumptions transferred across years and bases.</w:t>
            </w:r>
          </w:p>
        </w:tc>
      </w:tr>
      <w:tr w:rsidR="00F06535" w14:paraId="2B3B6F5D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80924" w14:textId="77777777" w:rsidR="00F06535" w:rsidRDefault="00000000">
            <w:pPr>
              <w:spacing w:after="40"/>
            </w:pPr>
            <w:r>
              <w:rPr>
                <w:sz w:val="21"/>
              </w:rPr>
              <w:t>Alepisaurus ferox; Aphanopus intermedius; Berycidae; Beryx; Beryx decadactylus; Beryx splendens; Brama brama; Bramidae; Gephyroberyx darwinii; Guentherus altivela; Lampris guttatus; Promethichthys prometheus; Ruvettus pretiosus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38D95" w14:textId="77777777" w:rsidR="00F06535" w:rsidRDefault="00000000">
            <w:pPr>
              <w:spacing w:after="40"/>
            </w:pPr>
            <w:r>
              <w:rPr>
                <w:sz w:val="21"/>
              </w:rPr>
              <w:t>Deep-water fish are weak predatory, habitat or family analogues of the source Gempylus, Lepidocybium or other bathy members. Exact placement and size/depth boundaries remain unverified; mixed diets and pelagic overlap weaken the pooled pathway. Lampris also has an uncertain local role.</w:t>
            </w:r>
          </w:p>
        </w:tc>
      </w:tr>
      <w:tr w:rsidR="00F06535" w14:paraId="06931528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BFB49" w14:textId="77777777" w:rsidR="00F06535" w:rsidRDefault="00000000">
            <w:pPr>
              <w:spacing w:after="40"/>
            </w:pPr>
            <w:r>
              <w:rPr>
                <w:sz w:val="21"/>
              </w:rPr>
              <w:t>Apsilus fuscus; Brotula barbata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3D15A" w14:textId="77777777" w:rsidR="00F06535" w:rsidRDefault="00000000">
            <w:pPr>
              <w:spacing w:after="40"/>
            </w:pPr>
            <w:r>
              <w:rPr>
                <w:sz w:val="21"/>
              </w:rPr>
              <w:t>The snapper and brotula are weak shelf-predator analogues. Apsilus is not established by the source coastal Lutjanus members; Brotula also overlaps deeper and crustacean-feeding compartments.</w:t>
            </w:r>
          </w:p>
        </w:tc>
      </w:tr>
      <w:tr w:rsidR="00F06535" w14:paraId="2035A7C4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F607E" w14:textId="77777777" w:rsidR="00F06535" w:rsidRDefault="00000000">
            <w:pPr>
              <w:spacing w:after="40"/>
            </w:pPr>
            <w:r>
              <w:rPr>
                <w:sz w:val="21"/>
              </w:rPr>
              <w:t>Batoidea; Chondrichthyes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5AE1F" w14:textId="77777777" w:rsidR="00F06535" w:rsidRDefault="00000000">
            <w:pPr>
              <w:spacing w:after="40"/>
            </w:pPr>
            <w:r>
              <w:rPr>
                <w:sz w:val="21"/>
              </w:rPr>
              <w:t>The four shark/ray pools lack observed species, size and habitat composition. Chondrichthyes additionally includes chimaeras absent from the source. Historical donor catch proportions mix guild members and reporting populations; they do not establish residual composition and are transferred across years/bases.</w:t>
            </w:r>
          </w:p>
        </w:tc>
      </w:tr>
      <w:tr w:rsidR="00F06535" w14:paraId="1E145105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1CF23" w14:textId="77777777" w:rsidR="00F06535" w:rsidRDefault="00000000">
            <w:pPr>
              <w:spacing w:after="40"/>
            </w:pPr>
            <w:r>
              <w:rPr>
                <w:sz w:val="21"/>
              </w:rPr>
              <w:t>Perciformes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44FC0" w14:textId="77777777" w:rsidR="00F06535" w:rsidRDefault="00000000">
            <w:pPr>
              <w:spacing w:after="40"/>
            </w:pPr>
            <w:r>
              <w:rPr>
                <w:sz w:val="21"/>
              </w:rPr>
              <w:t>Historical reporting boundaries span named and residual source fishes but differ from modern taxonomy. The actual species mixture is unknown. The source-member union and complete 1998 group catch proportions are assumptions transferred across years and bases.</w:t>
            </w:r>
          </w:p>
        </w:tc>
      </w:tr>
      <w:tr w:rsidR="00F06535" w14:paraId="2E4B3C4B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4DF3F" w14:textId="77777777" w:rsidR="00F06535" w:rsidRDefault="00000000">
            <w:pPr>
              <w:spacing w:after="40"/>
            </w:pPr>
            <w:r>
              <w:rPr>
                <w:sz w:val="21"/>
              </w:rPr>
              <w:t>Aetobatus narinari; Carcharias taurus; Carcharodon carcharias; Galeorhinus galeus; Ginglymostoma cirratum; Glaucostegus cemiculus; Pristidae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530BA" w14:textId="77777777" w:rsidR="00F06535" w:rsidRDefault="00000000">
            <w:pPr>
              <w:spacing w:after="40"/>
            </w:pPr>
            <w:r>
              <w:rPr>
                <w:sz w:val="21"/>
              </w:rPr>
              <w:t>Large coastal sharks/rays are weak size, habitat or family analogues of source coastal elasmobranch members. These taxa are not explicitly listed, and compartment limits are incompletely verified; white-shark regional representativeness is also unverified.</w:t>
            </w:r>
          </w:p>
        </w:tc>
      </w:tr>
      <w:tr w:rsidR="00F06535" w14:paraId="30EF6FA4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4D24E" w14:textId="77777777" w:rsidR="00F06535" w:rsidRDefault="00000000">
            <w:pPr>
              <w:spacing w:after="40"/>
            </w:pPr>
            <w:r>
              <w:rPr>
                <w:sz w:val="21"/>
              </w:rPr>
              <w:t>Marine pelagic 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4B1A2" w14:textId="77777777" w:rsidR="00F06535" w:rsidRDefault="00000000">
            <w:pPr>
              <w:spacing w:after="40"/>
            </w:pPr>
            <w:r>
              <w:rPr>
                <w:sz w:val="21"/>
              </w:rPr>
              <w:t>Source pelagic members include named tuna/billfish, clupeids and mixed shelf/bathy guilds. Their proportions within this reporting label are unknown; whole-pool 1998 catch weights transfer an assumed mixture across years/bases.</w:t>
            </w:r>
          </w:p>
        </w:tc>
      </w:tr>
      <w:tr w:rsidR="00F06535" w14:paraId="632FCD67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AAD9C" w14:textId="77777777" w:rsidR="00F06535" w:rsidRDefault="00000000">
            <w:pPr>
              <w:spacing w:after="40"/>
            </w:pPr>
            <w:r>
              <w:rPr>
                <w:sz w:val="21"/>
              </w:rPr>
              <w:t>Lithognathus mormyrus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31B02" w14:textId="77777777" w:rsidR="00F06535" w:rsidRDefault="00000000">
            <w:pPr>
              <w:spacing w:after="40"/>
            </w:pPr>
            <w:r>
              <w:rPr>
                <w:sz w:val="21"/>
              </w:rPr>
              <w:t>The sea bream is a weak coastal benthic-invertebrate-feeder analogue; source membership and the precise feeding/size boundary remain unverified.</w:t>
            </w:r>
          </w:p>
        </w:tc>
      </w:tr>
      <w:tr w:rsidR="00F06535" w14:paraId="08B162C1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7D2AB" w14:textId="77777777" w:rsidR="00F06535" w:rsidRDefault="00000000">
            <w:pPr>
              <w:spacing w:after="40"/>
            </w:pPr>
            <w:r>
              <w:rPr>
                <w:sz w:val="21"/>
              </w:rPr>
              <w:t>Elagatis bipinnulata; Tylosurus crocodilus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9B353" w14:textId="77777777" w:rsidR="00F06535" w:rsidRDefault="00000000">
            <w:pPr>
              <w:spacing w:after="40"/>
            </w:pPr>
            <w:r>
              <w:rPr>
                <w:sz w:val="21"/>
              </w:rPr>
              <w:t>These large pelagic fishes are weak feeding/habitat analogues of source Alectis/Coryphaena or Ablennes. Exact source membership and size/habitat limits are unverified.</w:t>
            </w:r>
          </w:p>
        </w:tc>
      </w:tr>
      <w:tr w:rsidR="00F06535" w14:paraId="3FEA809E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6334C" w14:textId="77777777" w:rsidR="00F06535" w:rsidRDefault="00000000">
            <w:pPr>
              <w:spacing w:after="40"/>
            </w:pPr>
            <w:r>
              <w:rPr>
                <w:sz w:val="21"/>
              </w:rPr>
              <w:lastRenderedPageBreak/>
              <w:t>Branchiostegus; Lagocephalus laevigatus; Parapristipoma octolineatum; Spondyliosoma cantharus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AB265" w14:textId="77777777" w:rsidR="00F06535" w:rsidRDefault="00000000">
            <w:pPr>
              <w:spacing w:after="40"/>
            </w:pPr>
            <w:r>
              <w:rPr>
                <w:sz w:val="21"/>
              </w:rPr>
              <w:t>Shelf benthic feeders are weak analogues of source members such as Balistes, Plectorhinchus, Pagellus and Boops. No explicit placement is documented; the puffer overlaps pelagic/benthic guilds and source puffers span several compartments.</w:t>
            </w:r>
          </w:p>
        </w:tc>
      </w:tr>
      <w:tr w:rsidR="00F06535" w14:paraId="051E35A9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50285" w14:textId="77777777" w:rsidR="00F06535" w:rsidRDefault="00000000">
            <w:pPr>
              <w:spacing w:after="40"/>
            </w:pPr>
            <w:r>
              <w:rPr>
                <w:sz w:val="21"/>
              </w:rPr>
              <w:t>Sarotherodon galilaeus; Sarotherodon melanotheron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E68FB" w14:textId="77777777" w:rsidR="00F06535" w:rsidRDefault="00000000">
            <w:pPr>
              <w:spacing w:after="40"/>
            </w:pPr>
            <w:r>
              <w:rPr>
                <w:sz w:val="21"/>
              </w:rPr>
              <w:t>Tilapia plant/detritus feeding links weakly to source Liza/Mugil and Acanthurus/Sarpa. These are not mullets or source members; freshwater/brackish or lagoon habitats are transferred to marine pathways without a freshwater compartment.</w:t>
            </w:r>
          </w:p>
        </w:tc>
      </w:tr>
      <w:tr w:rsidR="00F06535" w14:paraId="2EAFFD5F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D4B04" w14:textId="77777777" w:rsidR="00F06535" w:rsidRDefault="00000000">
            <w:pPr>
              <w:spacing w:after="40"/>
            </w:pPr>
            <w:r>
              <w:rPr>
                <w:sz w:val="21"/>
              </w:rPr>
              <w:t>Bathygobius soporator; Gobiidae; Solea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3C240" w14:textId="77777777" w:rsidR="00F06535" w:rsidRDefault="00000000">
            <w:pPr>
              <w:spacing w:after="40"/>
            </w:pPr>
            <w:r>
              <w:rPr>
                <w:sz w:val="21"/>
              </w:rPr>
              <w:t>Gobies and soles are weak shallow benthic-feeder analogues of the source coastal guild. No explicit goby compartment exists; Solea species/depth composition is unknown. The provider large-reef bin does not establish Bathygobius placement.</w:t>
            </w:r>
          </w:p>
        </w:tc>
      </w:tr>
      <w:tr w:rsidR="00F06535" w14:paraId="1A3EA66B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8038C" w14:textId="77777777" w:rsidR="00F06535" w:rsidRDefault="00000000">
            <w:pPr>
              <w:spacing w:after="40"/>
            </w:pPr>
            <w:r>
              <w:rPr>
                <w:sz w:val="21"/>
              </w:rPr>
              <w:t>Miscellaneous marine crustaceans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CEA20" w14:textId="77777777" w:rsidR="00F06535" w:rsidRDefault="00000000">
            <w:pPr>
              <w:spacing w:after="40"/>
            </w:pPr>
            <w:r>
              <w:rPr>
                <w:sz w:val="21"/>
              </w:rPr>
              <w:t>Actual source invertebrates include benthic taxa, euphausiids and unspecified larvae. Provider bins do not prove adult-only composition. Larval taxonomy and caught-stage composition are unobserved; source whole-pool catch weights are fixed across years/bases.</w:t>
            </w:r>
          </w:p>
        </w:tc>
      </w:tr>
      <w:tr w:rsidR="00F06535" w14:paraId="39241629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313B6" w14:textId="77777777" w:rsidR="00F06535" w:rsidRDefault="00000000">
            <w:pPr>
              <w:spacing w:after="40"/>
            </w:pPr>
            <w:r>
              <w:rPr>
                <w:sz w:val="21"/>
              </w:rPr>
              <w:t>Scorpaeniformes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819D6" w14:textId="77777777" w:rsidR="00F06535" w:rsidRDefault="00000000">
            <w:pPr>
              <w:spacing w:after="40"/>
            </w:pPr>
            <w:r>
              <w:rPr>
                <w:sz w:val="21"/>
              </w:rPr>
              <w:t>Source scorpionfish, gurnard and flying-gurnard members span coastal, shelf and bathy groups. Legacy order boundaries and unidentified caught composition remain uncertain; 1998 whole-group catch weights transfer the mixed pathways across years/bases.</w:t>
            </w:r>
          </w:p>
        </w:tc>
      </w:tr>
      <w:tr w:rsidR="00F06535" w14:paraId="2F454ACD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300A1" w14:textId="77777777" w:rsidR="00F06535" w:rsidRDefault="00000000">
            <w:pPr>
              <w:spacing w:after="40"/>
            </w:pPr>
            <w:r>
              <w:rPr>
                <w:sz w:val="21"/>
              </w:rPr>
              <w:t>Centrophorus; Centrophorus granulosus; Centrophorus lusitanicus; Centrophorus squamosus; Centroscymnus coelolepis; Centroselachus crepidater; Cetorhinus maximus; Dalatias licha; Deania calceus; Echinorhinus brucus; Hexanchus griseus; Rostroraja alba; Scymnodon ringens; Somniosus rostratus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C033F" w14:textId="77777777" w:rsidR="00F06535" w:rsidRDefault="00000000">
            <w:pPr>
              <w:spacing w:after="40"/>
            </w:pPr>
            <w:r>
              <w:rPr>
                <w:sz w:val="21"/>
              </w:rPr>
              <w:t>These are weak size, depth or family analogues of source large deep elasmobranchs; exact membership and size cutoffs are unverified. Basking shark follows the named whale-shark analogue despite pelagic filter feeding; skate catch depths and some local geographic fits remain uncertain.</w:t>
            </w:r>
          </w:p>
        </w:tc>
      </w:tr>
      <w:tr w:rsidR="00F06535" w14:paraId="49F79630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355D2" w14:textId="77777777" w:rsidR="00F06535" w:rsidRDefault="00000000">
            <w:pPr>
              <w:spacing w:after="40"/>
            </w:pPr>
            <w:r>
              <w:rPr>
                <w:sz w:val="21"/>
              </w:rPr>
              <w:t>Centrolophidae; Peristediidae; Schedophilus ovalis; Schedophilus pemarco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0075E" w14:textId="77777777" w:rsidR="00F06535" w:rsidRDefault="00000000">
            <w:pPr>
              <w:spacing w:after="40"/>
            </w:pPr>
            <w:r>
              <w:rPr>
                <w:sz w:val="21"/>
              </w:rPr>
              <w:t>Barrelfishes and armoured gurnards are weak benthopelagic-feeder analogues of source Ariomma or Trigla. Heterogeneous diets, uncertain local feeding and shelf/slope overlap leave source-specific placement unresolved.</w:t>
            </w:r>
          </w:p>
        </w:tc>
      </w:tr>
      <w:tr w:rsidR="00F06535" w14:paraId="07D50426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97EA3" w14:textId="77777777" w:rsidR="00F06535" w:rsidRDefault="00000000">
            <w:pPr>
              <w:spacing w:after="40"/>
            </w:pPr>
            <w:r>
              <w:rPr>
                <w:sz w:val="21"/>
              </w:rPr>
              <w:t>Pellonula leonensis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C0CD5" w14:textId="77777777" w:rsidR="00F06535" w:rsidRDefault="00000000">
            <w:pPr>
              <w:spacing w:after="40"/>
            </w:pPr>
            <w:r>
              <w:rPr>
                <w:sz w:val="21"/>
              </w:rPr>
              <w:t>Pellonula provides a weak small coastal-pelagic feeding analogue, but river/lagoon and brackish occurrence complicate transfer. Marine catch does not establish a shared freshwater food web or documented source membership.</w:t>
            </w:r>
          </w:p>
        </w:tc>
      </w:tr>
      <w:tr w:rsidR="00F06535" w14:paraId="00C91306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CE532" w14:textId="77777777" w:rsidR="00F06535" w:rsidRDefault="00000000">
            <w:pPr>
              <w:spacing w:after="40"/>
            </w:pPr>
            <w:r>
              <w:rPr>
                <w:sz w:val="21"/>
              </w:rPr>
              <w:t>Pseudocaranx dentex; Uraspis secunda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17C45" w14:textId="77777777" w:rsidR="00F06535" w:rsidRDefault="00000000">
            <w:pPr>
              <w:spacing w:after="40"/>
            </w:pPr>
            <w:r>
              <w:rPr>
                <w:sz w:val="21"/>
              </w:rPr>
              <w:t>Trevally/jack are weak analogues of source Caranx/Trachinotus. Offshore habitat overlap and incomplete source guild boundaries prevent stronger membership confidence.</w:t>
            </w:r>
          </w:p>
        </w:tc>
      </w:tr>
      <w:tr w:rsidR="00F06535" w14:paraId="7145963F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B8A3F" w14:textId="77777777" w:rsidR="00F06535" w:rsidRDefault="00000000">
            <w:pPr>
              <w:spacing w:after="40"/>
            </w:pPr>
            <w:r>
              <w:rPr>
                <w:sz w:val="21"/>
              </w:rPr>
              <w:t>Holocentrus adscensionis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36E27" w14:textId="77777777" w:rsidR="00F06535" w:rsidRDefault="00000000">
            <w:pPr>
              <w:spacing w:after="40"/>
            </w:pPr>
            <w:r>
              <w:rPr>
                <w:sz w:val="21"/>
              </w:rPr>
              <w:t>The reef squirrelfish is a weak nocturnal invertebrate-feeding analogue of source Sargocentron; exact membership and the small/medium compartment boundary are unverified.</w:t>
            </w:r>
          </w:p>
        </w:tc>
      </w:tr>
      <w:tr w:rsidR="00F06535" w14:paraId="7BCDB373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1E50D" w14:textId="77777777" w:rsidR="00F06535" w:rsidRDefault="00000000">
            <w:pPr>
              <w:spacing w:after="40"/>
            </w:pPr>
            <w:r>
              <w:rPr>
                <w:sz w:val="21"/>
              </w:rPr>
              <w:lastRenderedPageBreak/>
              <w:t>Tetrapturus pfluegeri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CE86E" w14:textId="77777777" w:rsidR="00F06535" w:rsidRDefault="00000000">
            <w:pPr>
              <w:spacing w:after="40"/>
            </w:pPr>
            <w:r>
              <w:rPr>
                <w:sz w:val="21"/>
              </w:rPr>
              <w:t>The spearfish is linked to the source billfish members in Thons majeurs, but is not a printed member; source-specific placement remains a weak analogue.</w:t>
            </w:r>
          </w:p>
        </w:tc>
      </w:tr>
      <w:tr w:rsidR="00F06535" w14:paraId="4999E313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A4DC6" w14:textId="77777777" w:rsidR="00F06535" w:rsidRDefault="00000000">
            <w:pPr>
              <w:spacing w:after="40"/>
            </w:pPr>
            <w:r>
              <w:rPr>
                <w:sz w:val="21"/>
              </w:rPr>
              <w:t>Dicentrarchus; Dicentrarchus punctatus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65650" w14:textId="77777777" w:rsidR="00F06535" w:rsidRDefault="00000000">
            <w:pPr>
              <w:spacing w:after="40"/>
            </w:pPr>
            <w:r>
              <w:rPr>
                <w:sz w:val="21"/>
              </w:rPr>
              <w:t>Sea bass are weak coastal/estuarine piscivore analogues. They are not source-listed and cannot be assigned literally to Bars, which denotes Pseudotolithus; exact guild boundaries remain uncertain.</w:t>
            </w:r>
          </w:p>
        </w:tc>
      </w:tr>
      <w:tr w:rsidR="00F06535" w14:paraId="23ACC546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92998" w14:textId="77777777" w:rsidR="00F06535" w:rsidRDefault="00000000">
            <w:pPr>
              <w:spacing w:after="40"/>
            </w:pPr>
            <w:r>
              <w:rPr>
                <w:sz w:val="21"/>
              </w:rPr>
              <w:t>Miscellaneous aquatic invertebrates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D6FF5" w14:textId="77777777" w:rsidR="00F06535" w:rsidRDefault="00000000">
            <w:pPr>
              <w:spacing w:after="40"/>
            </w:pPr>
            <w:r>
              <w:rPr>
                <w:sz w:val="21"/>
              </w:rPr>
              <w:t>Actual source invertebrates include benthic taxa, euphausiids and unspecified larvae. Provider bins do not prove adult-only composition. Larval taxonomy and caught-stage composition are unobserved; source whole-pool catch weights are fixed across years/bases.</w:t>
            </w:r>
          </w:p>
        </w:tc>
      </w:tr>
      <w:tr w:rsidR="00F06535" w14:paraId="43F69C17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8DBE8" w14:textId="77777777" w:rsidR="00F06535" w:rsidRDefault="00000000">
            <w:pPr>
              <w:spacing w:after="40"/>
            </w:pPr>
            <w:r>
              <w:rPr>
                <w:sz w:val="21"/>
              </w:rPr>
              <w:t>Centroscyllium fabricii; Oxynotus centrina; Scyliorhinidae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92613" w14:textId="77777777" w:rsidR="00F06535" w:rsidRDefault="00000000">
            <w:pPr>
              <w:spacing w:after="40"/>
            </w:pPr>
            <w:r>
              <w:rPr>
                <w:sz w:val="21"/>
              </w:rPr>
              <w:t>Small/medium deep sharks are weak analogues of source Etmopterus/Galeus. Family depth composition and group size boundaries remain uncertain; documented Sierra Leone occurrence prevents excluding Centroscyllium merely by geography.</w:t>
            </w:r>
          </w:p>
        </w:tc>
      </w:tr>
      <w:tr w:rsidR="00F06535" w14:paraId="76FA8951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EFB7D" w14:textId="77777777" w:rsidR="00F06535" w:rsidRDefault="00000000">
            <w:pPr>
              <w:spacing w:after="40"/>
            </w:pPr>
            <w:r>
              <w:rPr>
                <w:sz w:val="21"/>
              </w:rPr>
              <w:t>Chimaeriformes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2E226" w14:textId="77777777" w:rsidR="00F06535" w:rsidRDefault="00000000">
            <w:pPr>
              <w:spacing w:after="40"/>
            </w:pPr>
            <w:r>
              <w:rPr>
                <w:sz w:val="21"/>
              </w:rPr>
              <w:t>Chimaeras are absent from the source inventory and belong to Holocephali rather than sharks/rays. Deep cartilaginous pools are a weak depth/body-form analogue; coastal and bony alternatives fit less closely. Source catch proportions fix an unobserved mixture across years and bases.</w:t>
            </w:r>
          </w:p>
        </w:tc>
      </w:tr>
      <w:tr w:rsidR="00F06535" w14:paraId="5ECBF32D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2ED81" w14:textId="77777777" w:rsidR="00F06535" w:rsidRDefault="00000000">
            <w:pPr>
              <w:spacing w:after="40"/>
            </w:pPr>
            <w:r>
              <w:rPr>
                <w:sz w:val="21"/>
              </w:rPr>
              <w:t>Cyprinidae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E11C1" w14:textId="77777777" w:rsidR="00F06535" w:rsidRDefault="00000000">
            <w:pPr>
              <w:spacing w:after="40"/>
            </w:pPr>
            <w:r>
              <w:rPr>
                <w:sz w:val="21"/>
              </w:rPr>
              <w:t>Freshwater carp/barbel bottom-feeding, omnivory and detritivory provide a weak link to shallow Mulets and coastal invertebrate feeders. The marine model has no freshwater compartment or measured family composition; source catch weights transfer those pathways across all years/bases.</w:t>
            </w:r>
          </w:p>
        </w:tc>
      </w:tr>
      <w:tr w:rsidR="00F06535" w14:paraId="3EF88AF9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CEBEC" w14:textId="77777777" w:rsidR="00F06535" w:rsidRDefault="00000000">
            <w:pPr>
              <w:spacing w:after="40"/>
            </w:pPr>
            <w:r>
              <w:rPr>
                <w:sz w:val="21"/>
              </w:rPr>
              <w:t>Inermiidae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3B020" w14:textId="77777777" w:rsidR="00F06535" w:rsidRDefault="00000000">
            <w:pPr>
              <w:spacing w:after="40"/>
            </w:pPr>
            <w:r>
              <w:rPr>
                <w:sz w:val="21"/>
              </w:rPr>
              <w:t>Bonnetmouth schooling and plankton feeding connect to the small pelagic guilds, but Western Atlantic identity and absence of a printed member weaken regional transfer. Model catch weights assume an unobserved coastal/offshore mixture across years and bases.</w:t>
            </w:r>
          </w:p>
        </w:tc>
      </w:tr>
      <w:tr w:rsidR="00F06535" w14:paraId="3D26428A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85A02" w14:textId="77777777" w:rsidR="00F06535" w:rsidRDefault="00000000">
            <w:pPr>
              <w:spacing w:after="40"/>
            </w:pPr>
            <w:r>
              <w:rPr>
                <w:sz w:val="21"/>
              </w:rPr>
              <w:t>Pentheroscion mbizi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1D99D" w14:textId="77777777" w:rsidR="00F06535" w:rsidRDefault="00000000">
            <w:pPr>
              <w:spacing w:after="40"/>
            </w:pPr>
            <w:r>
              <w:rPr>
                <w:sz w:val="21"/>
              </w:rPr>
              <w:t>The shelf croaker has a weak source medium-predator habitat connection, supported by 80–200 m occurrence and fish/shrimp feeding. Exact membership and pooled diet fit remain uncertain.</w:t>
            </w:r>
          </w:p>
        </w:tc>
      </w:tr>
    </w:tbl>
    <w:p w14:paraId="7FD36E30" w14:textId="77777777" w:rsidR="00F06535" w:rsidRDefault="00000000">
      <w:r>
        <w:t xml:space="preserve">The excluded TE arithmetic is 4.5717 billion t C: Elasmobranchii contributes 23.6895%, Prionace glauca 13.2955% and Sphyrna zygaena 10.0636%. Explicit shark membership is retained; the extreme pooled coefficient and Low donor mixture make TE scientifically implausible. </w:t>
      </w:r>
      <w:hyperlink r:id="rId24">
        <w:r>
          <w:rPr>
            <w:color w:val="0563C1"/>
            <w:u w:val="single"/>
          </w:rPr>
          <w:t>Actual method contributions</w:t>
        </w:r>
      </w:hyperlink>
    </w:p>
    <w:p w14:paraId="6D372145" w14:textId="77777777" w:rsidR="00F06535" w:rsidRDefault="00000000">
      <w:pPr>
        <w:pStyle w:val="1"/>
        <w:pageBreakBefore/>
      </w:pPr>
      <w:r>
        <w:lastRenderedPageBreak/>
        <w:t>Geographic evidence screenshots</w:t>
      </w:r>
    </w:p>
    <w:p w14:paraId="77043B64" w14:textId="77777777" w:rsidR="00F06535" w:rsidRDefault="00000000">
      <w:pPr>
        <w:spacing w:after="40" w:line="240" w:lineRule="auto"/>
      </w:pPr>
      <w:r>
        <w:t>R is the full Guinea Current LME; S is the study waters off Guinea. The graticule trace and ordered coastline approximate the original figure. Nine source-visible water controls test both sides of the maritime limits and coastal water; these ranges are not statistical intervals.</w:t>
      </w:r>
    </w:p>
    <w:p w14:paraId="786757BF" w14:textId="77777777" w:rsidR="00F06535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F06535" w14:paraId="63490F77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E344C" w14:textId="77777777" w:rsidR="00F06535" w:rsidRDefault="00000000">
            <w:pPr>
              <w:keepNext/>
              <w:spacing w:after="40"/>
            </w:pPr>
            <w:r>
              <w:t>Guinea Current target region</w:t>
            </w:r>
          </w:p>
        </w:tc>
      </w:tr>
      <w:tr w:rsidR="00F06535" w14:paraId="19BB7169" w14:textId="77777777">
        <w:trPr>
          <w:cantSplit/>
          <w:trHeight w:val="2880"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3297E" w14:textId="77777777" w:rsidR="00F06535" w:rsidRDefault="00000000">
            <w:pPr>
              <w:spacing w:after="40" w:line="240" w:lineRule="auto"/>
            </w:pPr>
            <w:r>
              <w:rPr>
                <w:noProof/>
              </w:rPr>
              <w:drawing>
                <wp:inline distT="0" distB="0" distL="0" distR="0" wp14:anchorId="38AEC5D4" wp14:editId="23E8285D">
                  <wp:extent cx="4572000" cy="36325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reg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3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A8A2F" w14:textId="77777777" w:rsidR="00F06535" w:rsidRDefault="00000000">
      <w:pPr>
        <w:spacing w:after="40" w:line="240" w:lineRule="auto"/>
      </w:pPr>
      <w:r>
        <w:t xml:space="preserve">Sea Around Us LME 28 target R: 1,918,762 km².  </w:t>
      </w:r>
      <w:hyperlink r:id="rId26">
        <w:r>
          <w:rPr>
            <w:color w:val="0563C1"/>
            <w:u w:val="single"/>
          </w:rPr>
          <w:t>Target boundary</w:t>
        </w:r>
      </w:hyperlink>
      <w:r>
        <w:t xml:space="preserve"> | </w:t>
      </w:r>
      <w:hyperlink r:id="rId27">
        <w:r>
          <w:rPr>
            <w:color w:val="0563C1"/>
            <w:u w:val="single"/>
          </w:rPr>
          <w:t>Map image</w:t>
        </w:r>
      </w:hyperlink>
    </w:p>
    <w:p w14:paraId="1493FA07" w14:textId="77777777" w:rsidR="00F06535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F06535" w14:paraId="6A6F9767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BA6ED" w14:textId="77777777" w:rsidR="00F06535" w:rsidRDefault="00000000">
            <w:pPr>
              <w:keepNext/>
              <w:spacing w:after="40"/>
            </w:pPr>
            <w:r>
              <w:t>Original Guinea study area Figure 1</w:t>
            </w:r>
          </w:p>
        </w:tc>
      </w:tr>
      <w:tr w:rsidR="00F06535" w14:paraId="4A256645" w14:textId="77777777">
        <w:trPr>
          <w:cantSplit/>
          <w:trHeight w:val="2880"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04B4B" w14:textId="77777777" w:rsidR="00F06535" w:rsidRDefault="00000000">
            <w:pPr>
              <w:spacing w:after="40" w:line="240" w:lineRule="auto"/>
            </w:pPr>
            <w:r>
              <w:rPr>
                <w:noProof/>
              </w:rPr>
              <w:drawing>
                <wp:inline distT="0" distB="0" distL="0" distR="0" wp14:anchorId="1C61432A" wp14:editId="5A5A71C1">
                  <wp:extent cx="4297680" cy="42615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iginal_figure1_cr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426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13FBB" w14:textId="77777777" w:rsidR="00F06535" w:rsidRDefault="00000000">
      <w:pPr>
        <w:spacing w:after="40" w:line="240" w:lineRule="auto"/>
      </w:pPr>
      <w:r>
        <w:t xml:space="preserve">Guénette &amp; Diallo 2004 Figure 1, printedp.124/PDF 128. The model covers waters off the Republic of Guinea; the LME continues far beyond the study. Source-reported area is 111,932 km².  </w:t>
      </w:r>
      <w:hyperlink r:id="rId29" w:anchor="page=128">
        <w:r>
          <w:rPr>
            <w:color w:val="0563C1"/>
            <w:u w:val="single"/>
          </w:rPr>
          <w:t>Original source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Geographic assessment</w:t>
        </w:r>
      </w:hyperlink>
    </w:p>
    <w:p w14:paraId="5186BA88" w14:textId="77777777" w:rsidR="00F06535" w:rsidRDefault="00000000">
      <w:pPr>
        <w:pageBreakBefore/>
        <w:spacing w:after="40" w:line="240" w:lineRule="auto"/>
      </w:pPr>
      <w:r>
        <w:lastRenderedPageBreak/>
        <w:t xml:space="preserve">Approximate source-boundary comparison: reconstructed marine area 109,016 km², A≈5.64%, B≈99.28%; coarse report ranges 5–7% and 95–100% reflect line/coast uncertainty. The calibrated western corner and two real boundary bends follow the printed outline; markers/annotations were not water exclusions. </w:t>
      </w:r>
      <w:hyperlink r:id="rId31">
        <w:r>
          <w:rPr>
            <w:color w:val="0563C1"/>
            <w:u w:val="single"/>
          </w:rPr>
          <w:t>Reconstructed polygon</w:t>
        </w:r>
      </w:hyperlink>
      <w:r>
        <w:br/>
      </w:r>
      <w:r>
        <w:rPr>
          <w:noProof/>
        </w:rPr>
        <w:drawing>
          <wp:inline distT="0" distB="0" distL="0" distR="0" wp14:anchorId="5ACAEE99" wp14:editId="36305C98">
            <wp:extent cx="4389120" cy="34872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535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F43655"/>
    <w:multiLevelType w:val="hybridMultilevel"/>
    <w:tmpl w:val="0A5479C4"/>
    <w:lvl w:ilvl="0" w:tplc="B68CB11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539768">
    <w:abstractNumId w:val="8"/>
  </w:num>
  <w:num w:numId="2" w16cid:durableId="562958019">
    <w:abstractNumId w:val="6"/>
  </w:num>
  <w:num w:numId="3" w16cid:durableId="819156521">
    <w:abstractNumId w:val="5"/>
  </w:num>
  <w:num w:numId="4" w16cid:durableId="306054327">
    <w:abstractNumId w:val="4"/>
  </w:num>
  <w:num w:numId="5" w16cid:durableId="1246645088">
    <w:abstractNumId w:val="7"/>
  </w:num>
  <w:num w:numId="6" w16cid:durableId="713122741">
    <w:abstractNumId w:val="3"/>
  </w:num>
  <w:num w:numId="7" w16cid:durableId="1079210360">
    <w:abstractNumId w:val="2"/>
  </w:num>
  <w:num w:numId="8" w16cid:durableId="1315793142">
    <w:abstractNumId w:val="1"/>
  </w:num>
  <w:num w:numId="9" w16cid:durableId="737442103">
    <w:abstractNumId w:val="0"/>
  </w:num>
  <w:num w:numId="10" w16cid:durableId="1823236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CC5"/>
    <w:rsid w:val="00326F90"/>
    <w:rsid w:val="009B358E"/>
    <w:rsid w:val="00AA1D8D"/>
    <w:rsid w:val="00B47730"/>
    <w:rsid w:val="00CB0664"/>
    <w:rsid w:val="00F06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15840"/>
  <w14:defaultImageDpi w14:val="300"/>
  <w15:docId w15:val="{7053D65F-D1B5-4178-8B34-1A82FF71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" TargetMode="External"/><Relationship Id="rId18" Type="http://schemas.openxmlformats.org/officeDocument/2006/relationships/hyperlink" Target="evidence/source_review/method_contribution_exposure.json" TargetMode="External"/><Relationship Id="rId26" Type="http://schemas.openxmlformats.org/officeDocument/2006/relationships/hyperlink" Target="evidence/source_review/geography/target_region.geojson" TargetMode="External"/><Relationship Id="rId3" Type="http://schemas.openxmlformats.org/officeDocument/2006/relationships/styles" Target="styles.xml"/><Relationship Id="rId21" Type="http://schemas.openxmlformats.org/officeDocument/2006/relationships/hyperlink" Target="evidence/source_review/taxon_audit.json" TargetMode="External"/><Relationship Id="rId34" Type="http://schemas.openxmlformats.org/officeDocument/2006/relationships/theme" Target="theme/theme1.xml"/><Relationship Id="rId7" Type="http://schemas.openxmlformats.org/officeDocument/2006/relationships/hyperlink" Target="../../../../../raw/catch/LME_028-catch.zip" TargetMode="External"/><Relationship Id="rId12" Type="http://schemas.openxmlformats.org/officeDocument/2006/relationships/hyperlink" Target="../model.json" TargetMode="External"/><Relationship Id="rId17" Type="http://schemas.openxmlformats.org/officeDocument/2006/relationships/hyperlink" Target="../model_notes.md" TargetMode="External"/><Relationship Id="rId25" Type="http://schemas.openxmlformats.org/officeDocument/2006/relationships/image" Target="media/image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evidence/source_review/source_parameter_differences.json" TargetMode="External"/><Relationship Id="rId20" Type="http://schemas.openxmlformats.org/officeDocument/2006/relationships/hyperlink" Target="taxon_mapping.xlsx" TargetMode="External"/><Relationship Id="rId29" Type="http://schemas.openxmlformats.org/officeDocument/2006/relationships/hyperlink" Target="../../../sources/Palomares-et-al-west-africa-ecosystems-bd6604d6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../../../../../LME_028.xlsx" TargetMode="External"/><Relationship Id="rId11" Type="http://schemas.openxmlformats.org/officeDocument/2006/relationships/hyperlink" Target="../../../../LME028-Gascuel-2009/sources/3506-cb3ad007.pdf" TargetMode="External"/><Relationship Id="rId24" Type="http://schemas.openxmlformats.org/officeDocument/2006/relationships/hyperlink" Target="evidence/source_review/method_contribution_exposure.json" TargetMode="External"/><Relationship Id="rId32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evidence/source_review/source_review.md" TargetMode="External"/><Relationship Id="rId23" Type="http://schemas.openxmlformats.org/officeDocument/2006/relationships/hyperlink" Target="evidence/source_review/allocation_evidence.json" TargetMode="External"/><Relationship Id="rId28" Type="http://schemas.openxmlformats.org/officeDocument/2006/relationships/image" Target="media/image2.png"/><Relationship Id="rId10" Type="http://schemas.openxmlformats.org/officeDocument/2006/relationships/hyperlink" Target="../../.." TargetMode="External"/><Relationship Id="rId19" Type="http://schemas.openxmlformats.org/officeDocument/2006/relationships/hyperlink" Target="taxon_mapping.xlsx" TargetMode="External"/><Relationship Id="rId31" Type="http://schemas.openxmlformats.org/officeDocument/2006/relationships/hyperlink" Target="evidence/source_review/geography/study_area_reconstructed.geojson" TargetMode="External"/><Relationship Id="rId4" Type="http://schemas.openxmlformats.org/officeDocument/2006/relationships/settings" Target="settings.xml"/><Relationship Id="rId9" Type="http://schemas.openxmlformats.org/officeDocument/2006/relationships/hyperlink" Target="../../../sources/Palomares-et-al-west-africa-ecosystems-bd6604d6.pdf" TargetMode="External"/><Relationship Id="rId14" Type="http://schemas.openxmlformats.org/officeDocument/2006/relationships/hyperlink" Target="evidence/source_review/alternative_1985_source_identity.json" TargetMode="External"/><Relationship Id="rId22" Type="http://schemas.openxmlformats.org/officeDocument/2006/relationships/hyperlink" Target="evidence/source_review/taxonomy_rank_followup/primary_authority_verification.json" TargetMode="External"/><Relationship Id="rId27" Type="http://schemas.openxmlformats.org/officeDocument/2006/relationships/hyperlink" Target="evidence/source_review/geography/target_region.png" TargetMode="External"/><Relationship Id="rId30" Type="http://schemas.openxmlformats.org/officeDocument/2006/relationships/hyperlink" Target="evidence/source_review/geography/geographic_assessment.json" TargetMode="External"/><Relationship Id="rId8" Type="http://schemas.openxmlformats.org/officeDocument/2006/relationships/hyperlink" Target="../../../../../raw/catch/LME_028-exploited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2975</Words>
  <Characters>14875</Characters>
  <Application>Microsoft Office Word</Application>
  <DocSecurity>0</DocSecurity>
  <Lines>123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2</cp:revision>
  <dcterms:created xsi:type="dcterms:W3CDTF">2013-12-23T23:15:00Z</dcterms:created>
  <dcterms:modified xsi:type="dcterms:W3CDTF">2026-10-08T10:14:00Z</dcterms:modified>
  <cp:category/>
</cp:coreProperties>
</file>