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9721" w14:textId="77777777" w:rsidR="001B0ED6" w:rsidRDefault="00000000">
      <w:pPr>
        <w:pStyle w:val="aa"/>
      </w:pPr>
      <w:r>
        <w:t>Gulf of Thailand model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1B0ED6" w14:paraId="027DA4AA" w14:textId="77777777">
        <w:trPr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B9418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D4505" w14:textId="77777777" w:rsidR="001B0ED6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1B0ED6" w14:paraId="1093D7AB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2CB0D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47B88" w14:textId="77777777" w:rsidR="001B0ED6" w:rsidRDefault="00000000">
            <w:pPr>
              <w:spacing w:after="40" w:line="240" w:lineRule="auto"/>
            </w:pPr>
            <w:r>
              <w:t xml:space="preserve">Gulf of Thailand, LME_035; source 10–50 m shelf applied across the whole LME. </w:t>
            </w:r>
            <w:hyperlink r:id="rId6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 w:rsidR="001B0ED6" w14:paraId="0C11548C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564A2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26674" w14:textId="77777777" w:rsidR="001B0ED6" w:rsidRDefault="00000000">
            <w:pPr>
              <w:spacing w:after="40" w:line="240" w:lineRule="auto"/>
            </w:pPr>
            <w:r>
              <w:t xml:space="preserve">Sea Around Us v50.1; local 1950–2019 catch; reference: 2019 landings. </w:t>
            </w:r>
            <w:hyperlink r:id="rId7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 w:rsidR="001B0ED6" w14:paraId="2338F218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541A0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34488" w14:textId="77777777" w:rsidR="001B0ED6" w:rsidRDefault="00000000">
            <w:pPr>
              <w:spacing w:after="40" w:line="240" w:lineRule="auto"/>
            </w:pPr>
            <w:r>
              <w:t xml:space="preserve">Christensen, V. (1998). Fishery-induced changes in a marine ecosystem: insight from models of the Gulf of Thailand. Journal of Fish Biology 53 (Suppl. A): 128–142. Author full HTML read; original PDF unavailable. </w:t>
            </w:r>
            <w:hyperlink r:id="rId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Author full text</w:t>
              </w:r>
            </w:hyperlink>
            <w:r>
              <w:t xml:space="preserve"> | </w:t>
            </w:r>
            <w:hyperlink r:id="rId10">
              <w:r>
                <w:rPr>
                  <w:color w:val="0563C1"/>
                  <w:u w:val="single"/>
                </w:rPr>
                <w:t>Retained source facts</w:t>
              </w:r>
            </w:hyperlink>
          </w:p>
        </w:tc>
      </w:tr>
      <w:tr w:rsidR="001B0ED6" w14:paraId="2374078A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C50A5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EA030" w14:textId="77777777" w:rsidR="001B0ED6" w:rsidRDefault="00000000">
            <w:pPr>
              <w:spacing w:after="40" w:line="240" w:lineRule="auto"/>
            </w:pPr>
            <w:r>
              <w:t xml:space="preserve">Pauly &amp; Christensen (1993), Stratified models of large marine ecosystems: application to the South China Sea — acknowledged 10–50 m Gulf predecessor. Vibunpant et al. (2003), Trophic model of the coastal fisheries ecosystem in the Gulf of Thailand — separate 40-group 1973 model. Premcharoen (2012), Mae Klong estuary — subregional alternative. </w:t>
            </w:r>
            <w:hyperlink r:id="rId11">
              <w:r>
                <w:rPr>
                  <w:color w:val="0563C1"/>
                  <w:u w:val="single"/>
                </w:rPr>
                <w:t>1993 predecessor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1973 source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Estuary source</w:t>
              </w:r>
            </w:hyperlink>
          </w:p>
        </w:tc>
      </w:tr>
      <w:tr w:rsidR="001B0ED6" w14:paraId="23951B45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1F227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3A4C7" w14:textId="77777777" w:rsidR="001B0ED6" w:rsidRDefault="00000000">
            <w:pPr>
              <w:spacing w:after="40" w:line="240" w:lineRule="auto"/>
            </w:pPr>
            <w:r>
              <w:t xml:space="preserve">35_412_Gulf_of_Thailande_(1963); scientific payload 1980 despite inherited 1963 filename. EcoBase 412 description and all 11 Table II biomass comparisons identify 1980. 29 source ecological groups (+1 computational import); 10–50 m shelf. </w:t>
            </w:r>
            <w:hyperlink r:id="rId14">
              <w:r>
                <w:rPr>
                  <w:color w:val="0563C1"/>
                  <w:u w:val="single"/>
                </w:rPr>
                <w:t>Canonical model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Identity evidence</w:t>
              </w:r>
            </w:hyperlink>
          </w:p>
        </w:tc>
      </w:tr>
      <w:tr w:rsidR="001B0ED6" w14:paraId="3F8DE881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3E9A7" w14:textId="77777777" w:rsidR="001B0ED6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77F5E" w14:textId="77777777" w:rsidR="001B0ED6" w:rsidRDefault="00000000">
            <w:pPr>
              <w:spacing w:after="40" w:line="240" w:lineRule="auto"/>
            </w:pPr>
            <w:r>
              <w:t>Article compares 1963 and 1980 baselines. Selected canonical file contains 1980; a separate verified complete 1963 parameter/diet set is not supplied. 1993 predecessor and 1973 candidate have different group structures.</w:t>
            </w:r>
          </w:p>
        </w:tc>
      </w:tr>
      <w:tr w:rsidR="001B0ED6" w14:paraId="474A9F9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D6EE9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4B682" w14:textId="77777777" w:rsidR="001B0ED6" w:rsidRDefault="00000000">
            <w:pPr>
              <w:spacing w:after="40" w:line="240" w:lineRule="auto"/>
            </w:pPr>
            <w:r>
              <w:t>Article — ?</w:t>
            </w:r>
            <w:r>
              <w:br/>
              <w:t>Model — Retained selected EcoBase 412 payload; independent identity evidence establishes 1980. Whole-LME/year application remains provisional; scientific approval is not established by finite coefficients.</w:t>
            </w:r>
          </w:p>
        </w:tc>
      </w:tr>
      <w:tr w:rsidR="001B0ED6" w14:paraId="2F881FF7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8981B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00525" w14:textId="77777777" w:rsidR="001B0ED6" w:rsidRDefault="00000000">
            <w:pPr>
              <w:spacing w:after="40" w:line="240" w:lineRule="auto"/>
            </w:pPr>
            <w:r>
              <w:t xml:space="preserve">Available source identity, habitat, illustrative membership and 11 biomasses were checked. Complete published B/PB/QB/EE/diet inputs are unavailable. Accepted canonical export, BA, diet, routing and runtime settings are retained; exact loaded groups agree. Zero juvenile exports are canonical values, not observed regional stage catches. </w:t>
            </w:r>
            <w:hyperlink r:id="rId16">
              <w:r>
                <w:rPr>
                  <w:color w:val="0563C1"/>
                  <w:u w:val="single"/>
                </w:rPr>
                <w:t>Source limitations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Loaded proof</w:t>
              </w:r>
            </w:hyperlink>
          </w:p>
          <w:p w14:paraId="1CE24545" w14:textId="77777777" w:rsidR="001B0ED6" w:rsidRDefault="00000000">
            <w:r>
              <w:t>Retained departures and evidence limits:</w:t>
            </w:r>
            <w:hyperlink r:id="rId18">
              <w:r>
                <w:rPr>
                  <w:color w:val="0563C1"/>
                  <w:u w:val="single"/>
                </w:rPr>
                <w:t>model notes</w:t>
              </w:r>
            </w:hyperlink>
          </w:p>
        </w:tc>
      </w:tr>
      <w:tr w:rsidR="001B0ED6" w14:paraId="15BA0F25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F0D8A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7338F" w14:textId="77777777" w:rsidR="001B0ED6" w:rsidRDefault="00000000">
            <w:pPr>
              <w:spacing w:after="40" w:line="240" w:lineRule="auto"/>
            </w:pPr>
            <w:r>
              <w:t>WARN: Jellyfish (18) and M. mammals (1) have EE = 0.</w:t>
            </w:r>
          </w:p>
          <w:p w14:paraId="1381D948" w14:textId="77777777" w:rsidR="001B0ED6" w:rsidRDefault="00000000">
            <w:pPr>
              <w:spacing w:after="40" w:line="240" w:lineRule="auto"/>
            </w:pPr>
            <w:r>
              <w:t>No negative SPPR entries across the basal-source columns.</w:t>
            </w:r>
          </w:p>
          <w:p w14:paraId="77795AF2" w14:textId="77777777" w:rsidR="001B0ED6" w:rsidRDefault="00000000">
            <w:pPr>
              <w:spacing w:after="40" w:line="240" w:lineRule="auto"/>
            </w:pPr>
            <w:r>
              <w:t>rho_living = 0.2400</w:t>
            </w:r>
          </w:p>
          <w:p w14:paraId="05A2F42C" w14:textId="77777777" w:rsidR="001B0ED6" w:rsidRDefault="00000000">
            <w:pPr>
              <w:spacing w:after="40" w:line="240" w:lineRule="auto"/>
            </w:pPr>
            <w:r>
              <w:t>b = 0.2712</w:t>
            </w:r>
          </w:p>
          <w:p w14:paraId="577DF202" w14:textId="77777777" w:rsidR="001B0ED6" w:rsidRDefault="00000000">
            <w:pPr>
              <w:spacing w:after="40" w:line="240" w:lineRule="auto"/>
            </w:pPr>
            <w:r>
              <w:t>Detritus (29): SPPR = 2.5802</w:t>
            </w:r>
          </w:p>
        </w:tc>
      </w:tr>
      <w:tr w:rsidR="001B0ED6" w14:paraId="7D3F3378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3BECF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BBFCD" w14:textId="77777777" w:rsidR="001B0ED6" w:rsidRDefault="00000000">
            <w:pPr>
              <w:spacing w:after="40" w:line="240" w:lineRule="auto"/>
            </w:pPr>
            <w:r>
              <w:t>WARN: Jellyfish (18) and M. mammals (1) have EE = 0.</w:t>
            </w:r>
          </w:p>
          <w:p w14:paraId="5499E294" w14:textId="77777777" w:rsidR="001B0ED6" w:rsidRDefault="00000000">
            <w:pPr>
              <w:spacing w:after="40" w:line="240" w:lineRule="auto"/>
            </w:pPr>
            <w:r>
              <w:t>No negative SPPR entries across the basal-source columns.</w:t>
            </w:r>
          </w:p>
          <w:p w14:paraId="2E963011" w14:textId="77777777" w:rsidR="001B0ED6" w:rsidRDefault="00000000">
            <w:pPr>
              <w:spacing w:after="40" w:line="240" w:lineRule="auto"/>
            </w:pPr>
            <w:r>
              <w:t>rho_living = 0.6142</w:t>
            </w:r>
          </w:p>
          <w:p w14:paraId="52BED005" w14:textId="77777777" w:rsidR="001B0ED6" w:rsidRDefault="00000000">
            <w:pPr>
              <w:spacing w:after="40" w:line="240" w:lineRule="auto"/>
            </w:pPr>
            <w:r>
              <w:t>Detritus (29): SPPR = 0.6600</w:t>
            </w:r>
          </w:p>
        </w:tc>
      </w:tr>
      <w:tr w:rsidR="001B0ED6" w14:paraId="663F67F4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672C2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SPPR calculation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D7989" w14:textId="214D4AF3" w:rsidR="004D290C" w:rsidRDefault="004D290C" w:rsidP="004D290C">
            <w:pPr>
              <w:spacing w:after="40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Removed groups from calculations:</w:t>
            </w:r>
          </w:p>
          <w:p w14:paraId="3232FA31" w14:textId="76FA109C" w:rsidR="004D290C" w:rsidRDefault="004D290C" w:rsidP="004D290C">
            <w:pPr>
              <w:pStyle w:val="ae"/>
              <w:numPr>
                <w:ilvl w:val="0"/>
                <w:numId w:val="10"/>
              </w:numPr>
              <w:spacing w:after="40" w:line="240" w:lineRule="auto"/>
            </w:pPr>
            <w:r w:rsidRPr="004D290C">
              <w:t>M. mammals</w:t>
            </w:r>
            <w:r>
              <w:t xml:space="preserve"> (GE=0.10%, SPPR_GE=110K)</w:t>
            </w:r>
          </w:p>
          <w:p w14:paraId="067C3665" w14:textId="7CA155B3" w:rsidR="001B0ED6" w:rsidRDefault="001B0ED6">
            <w:pPr>
              <w:spacing w:after="40" w:line="240" w:lineRule="auto"/>
            </w:pPr>
          </w:p>
        </w:tc>
      </w:tr>
      <w:tr w:rsidR="001B0ED6" w14:paraId="66877B10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3DC60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A1575" w14:textId="77777777" w:rsidR="001B0ED6" w:rsidRDefault="00000000">
            <w:pPr>
              <w:spacing w:after="40" w:line="240" w:lineRule="auto"/>
            </w:pPr>
            <w:r>
              <w:t>A. Region covered by the focal 10–50 m study: not determined.</w:t>
            </w:r>
          </w:p>
          <w:p w14:paraId="12060764" w14:textId="77777777" w:rsidR="001B0ED6" w:rsidRDefault="00000000">
            <w:pPr>
              <w:spacing w:after="40" w:line="240" w:lineRule="auto"/>
            </w:pPr>
            <w:r>
              <w:t>B. Focal study area covered by the region: not determined.</w:t>
            </w:r>
          </w:p>
          <w:p w14:paraId="0C5651A9" w14:textId="77777777" w:rsidR="001B0ED6" w:rsidRDefault="00000000">
            <w:pPr>
              <w:spacing w:after="40" w:line="240" w:lineRule="auto"/>
            </w:pPr>
            <w:r>
              <w:t>The original focal boundary is unavailable; the contextual estimates are shown with the figures below.</w:t>
            </w:r>
          </w:p>
        </w:tc>
      </w:tr>
      <w:tr w:rsidR="001B0ED6" w14:paraId="5AC3CA7F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8F744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2DF77" w14:textId="77777777" w:rsidR="001B0ED6" w:rsidRDefault="00000000">
            <w:pPr>
              <w:spacing w:after="40" w:line="240" w:lineRule="auto"/>
            </w:pPr>
            <w:r>
              <w:t>Static 1980 coefficients and fixed composition/stage proxies apply across 1950–2019 whole-LME catches; reference 2019 is 39 years later. Source shelf and reporting-population differences are not reconstructed annual ecosystem dynamics.</w:t>
            </w:r>
          </w:p>
        </w:tc>
      </w:tr>
      <w:tr w:rsidR="001B0ED6" w14:paraId="3D6851F2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C4421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E5F3C" w14:textId="77777777" w:rsidR="001B0ED6" w:rsidRDefault="00000000">
            <w:pPr>
              <w:spacing w:after="40" w:line="240" w:lineRule="auto"/>
            </w:pPr>
            <w:r>
              <w:t xml:space="preserve">GE, TE and With Egestion remain WARN. TE repairs consumed-production routing for two EE = 0 groups (marine mammals, jellyfish) under accepted runtime settings. All 270 direct source entries are finite/nonnegative, including unfished groups; six symbolic methods remain failed. Source fidelity and spatial/temporal application limits remain. </w:t>
            </w:r>
            <w:hyperlink r:id="rId19">
              <w:r>
                <w:rPr>
                  <w:color w:val="0563C1"/>
                  <w:u w:val="single"/>
                </w:rPr>
                <w:t>Full diagnostics</w:t>
              </w:r>
            </w:hyperlink>
          </w:p>
        </w:tc>
      </w:tr>
      <w:tr w:rsidR="001B0ED6" w14:paraId="69CB014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C7FE3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1289" w14:textId="77777777" w:rsidR="001B0ED6" w:rsidRDefault="00000000">
            <w:pPr>
              <w:spacing w:after="40"/>
            </w:pPr>
            <w:r>
              <w:rPr>
                <w:sz w:val="21"/>
              </w:rPr>
              <w:t>[Researcher: open issues and next actions]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</w:p>
        </w:tc>
      </w:tr>
      <w:tr w:rsidR="001B0ED6" w14:paraId="29F04040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C4BF8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B40C3" w14:textId="070CD369" w:rsidR="001B0ED6" w:rsidRDefault="00000000">
            <w:pPr>
              <w:spacing w:after="40"/>
            </w:pPr>
            <w:r>
              <w:rPr>
                <w:sz w:val="21"/>
              </w:rPr>
              <w:t xml:space="preserve">Researcher name: </w:t>
            </w:r>
            <w:r w:rsidR="004D290C">
              <w:rPr>
                <w:sz w:val="21"/>
              </w:rPr>
              <w:t>Ido Carmel</w:t>
            </w:r>
            <w:r>
              <w:rPr>
                <w:sz w:val="21"/>
              </w:rPr>
              <w:t xml:space="preserve"> | review date: </w:t>
            </w:r>
            <w:r w:rsidR="004D290C">
              <w:rPr>
                <w:sz w:val="21"/>
              </w:rPr>
              <w:t>08/10/2026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 w:rsidR="004D290C" w:rsidRPr="004D290C">
              <w:rPr>
                <w:b/>
                <w:bCs/>
                <w:sz w:val="21"/>
              </w:rPr>
              <w:t>MODEL VALIDATED</w:t>
            </w:r>
          </w:p>
        </w:tc>
      </w:tr>
    </w:tbl>
    <w:p w14:paraId="00DD8EB3" w14:textId="77777777" w:rsidR="001B0ED6" w:rsidRDefault="00000000">
      <w:r>
        <w:br w:type="page"/>
      </w:r>
    </w:p>
    <w:p w14:paraId="4EB82C63" w14:textId="77777777" w:rsidR="001B0ED6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Taxon mapping and coverage</w:t>
      </w:r>
    </w:p>
    <w:p w14:paraId="0A8BB71F" w14:textId="77777777" w:rsidR="001B0ED6" w:rsidRDefault="00000000">
      <w:pPr>
        <w:spacing w:after="120"/>
      </w:pPr>
      <w:r>
        <w:t>Reference: 2019 landings; all taxon labels, including zero catch and unidentified categories; no group filter.</w:t>
      </w:r>
    </w:p>
    <w:p w14:paraId="2CFCE772" w14:textId="77777777" w:rsidR="001B0ED6" w:rsidRDefault="00000000">
      <w:pPr>
        <w:spacing w:after="120"/>
      </w:pPr>
      <w:r>
        <w:t>29 source ecological groups (+1 computational import); 247 catch taxa.</w:t>
      </w:r>
    </w:p>
    <w:p w14:paraId="7D47C951" w14:textId="77777777" w:rsidR="001B0ED6" w:rsidRDefault="00000000">
      <w:pPr>
        <w:spacing w:after="120"/>
      </w:pPr>
      <w:r>
        <w:t>Simple-chain PPR totals 192,544,832.38 t C in 2019.</w:t>
      </w:r>
    </w:p>
    <w:p w14:paraId="46031E83" w14:textId="77777777" w:rsidR="001B0ED6" w:rsidRDefault="00000000">
      <w:pPr>
        <w:spacing w:after="120"/>
      </w:pPr>
      <w:r>
        <w:t>33 labels lack a classic TL/coefficient; all have zero 2019 landings and contribute zero annual PPR.</w:t>
      </w:r>
    </w:p>
    <w:p w14:paraId="00B66BA0" w14:textId="77777777" w:rsidR="001B0ED6" w:rsidRDefault="00000000">
      <w:pPr>
        <w:spacing w:after="120"/>
      </w:pPr>
      <w:r>
        <w:t>Method: independent simple trophic chain.</w:t>
      </w:r>
    </w:p>
    <w:p w14:paraId="714B790B" w14:textId="77777777" w:rsidR="001B0ED6" w:rsidRDefault="00000000">
      <w:pPr>
        <w:spacing w:after="120"/>
      </w:pPr>
      <w:hyperlink r:id="rId20">
        <w:r>
          <w:rPr>
            <w:color w:val="0563C1"/>
            <w:u w:val="single"/>
          </w:rPr>
          <w:t>All taxon mappings</w:t>
        </w:r>
      </w:hyperlink>
      <w:r>
        <w:t xml:space="preserve"> and </w:t>
      </w:r>
      <w:hyperlink r:id="rId21" w:anchor="Sources%21A1">
        <w:r>
          <w:rPr>
            <w:color w:val="0563C1"/>
            <w:u w:val="single"/>
          </w:rPr>
          <w:t>descriptive Sources sheet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1B0ED6" w14:paraId="0372FA51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6F835F" w14:textId="77777777" w:rsidR="001B0ED6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FB9F1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Taxa (n)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5D11B7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Catch (%)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D780A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Simple-chain PPR (%)</w:t>
            </w:r>
          </w:p>
        </w:tc>
      </w:tr>
      <w:tr w:rsidR="001B0ED6" w14:paraId="1EC19F07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9B15E" w14:textId="77777777" w:rsidR="001B0ED6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648FA" w14:textId="77777777" w:rsidR="001B0ED6" w:rsidRDefault="00000000">
            <w:pPr>
              <w:spacing w:before="40" w:after="40"/>
              <w:jc w:val="center"/>
            </w:pPr>
            <w:r>
              <w:t>99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FA72F6" w14:textId="77777777" w:rsidR="001B0ED6" w:rsidRDefault="00000000">
            <w:pPr>
              <w:spacing w:before="40" w:after="40"/>
              <w:jc w:val="center"/>
            </w:pPr>
            <w:r>
              <w:t>51%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1946E6" w14:textId="77777777" w:rsidR="001B0ED6" w:rsidRDefault="00000000">
            <w:pPr>
              <w:spacing w:before="40" w:after="40"/>
              <w:jc w:val="center"/>
            </w:pPr>
            <w:r>
              <w:t>33%</w:t>
            </w:r>
          </w:p>
        </w:tc>
      </w:tr>
      <w:tr w:rsidR="001B0ED6" w14:paraId="22E1982D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FE8F3D" w14:textId="77777777" w:rsidR="001B0ED6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C9CA6A" w14:textId="77777777" w:rsidR="001B0ED6" w:rsidRDefault="00000000">
            <w:pPr>
              <w:spacing w:before="40" w:after="40"/>
              <w:jc w:val="center"/>
            </w:pPr>
            <w:r>
              <w:t>103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70146" w14:textId="77777777" w:rsidR="001B0ED6" w:rsidRDefault="00000000">
            <w:pPr>
              <w:spacing w:before="40" w:after="40"/>
              <w:jc w:val="center"/>
            </w:pPr>
            <w:r>
              <w:t>27%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A8C02E" w14:textId="77777777" w:rsidR="001B0ED6" w:rsidRDefault="00000000">
            <w:pPr>
              <w:spacing w:before="40" w:after="40"/>
              <w:jc w:val="center"/>
            </w:pPr>
            <w:r>
              <w:t>45%</w:t>
            </w:r>
          </w:p>
        </w:tc>
      </w:tr>
      <w:tr w:rsidR="001B0ED6" w14:paraId="4A810B8B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97CCAA" w14:textId="77777777" w:rsidR="001B0ED6" w:rsidRDefault="00000000">
            <w:pPr>
              <w:spacing w:before="40" w:after="40"/>
            </w:pPr>
            <w: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937930" w14:textId="77777777" w:rsidR="001B0ED6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9D01B4" w14:textId="77777777" w:rsidR="001B0ED6" w:rsidRDefault="00000000">
            <w:pPr>
              <w:spacing w:before="40" w:after="40"/>
              <w:jc w:val="center"/>
            </w:pPr>
            <w:r>
              <w:t>8.7%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571301" w14:textId="77777777" w:rsidR="001B0ED6" w:rsidRDefault="00000000">
            <w:pPr>
              <w:spacing w:before="40" w:after="40"/>
              <w:jc w:val="center"/>
            </w:pPr>
            <w:r>
              <w:t>11%</w:t>
            </w:r>
          </w:p>
        </w:tc>
      </w:tr>
      <w:tr w:rsidR="001B0ED6" w14:paraId="00556078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A4B461" w14:textId="77777777" w:rsidR="001B0ED6" w:rsidRDefault="00000000">
            <w:pPr>
              <w:spacing w:before="40" w:after="40"/>
            </w:pPr>
            <w:r>
              <w:t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A8C1C1" w14:textId="77777777" w:rsidR="001B0ED6" w:rsidRDefault="00000000">
            <w:pPr>
              <w:spacing w:before="40" w:after="40"/>
              <w:jc w:val="center"/>
            </w:pPr>
            <w:r>
              <w:t>34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E051F" w14:textId="77777777" w:rsidR="001B0ED6" w:rsidRDefault="00000000">
            <w:pPr>
              <w:spacing w:before="40" w:after="40"/>
              <w:jc w:val="center"/>
            </w:pPr>
            <w:r>
              <w:t>13%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B7416A" w14:textId="77777777" w:rsidR="001B0ED6" w:rsidRDefault="00000000">
            <w:pPr>
              <w:spacing w:before="40" w:after="40"/>
              <w:jc w:val="center"/>
            </w:pPr>
            <w:r>
              <w:t>12%</w:t>
            </w:r>
          </w:p>
        </w:tc>
      </w:tr>
      <w:tr w:rsidR="001B0ED6" w14:paraId="40402764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6290B7" w14:textId="77777777" w:rsidR="001B0ED6" w:rsidRDefault="00000000">
            <w:pPr>
              <w:spacing w:before="40" w:after="40"/>
            </w:pPr>
            <w:r>
              <w:t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56B45D" w14:textId="77777777" w:rsidR="001B0ED6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253FE" w14:textId="77777777" w:rsidR="001B0ED6" w:rsidRDefault="00000000">
            <w:pPr>
              <w:spacing w:before="40" w:after="40"/>
              <w:jc w:val="center"/>
            </w:pPr>
            <w:r>
              <w:t>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6CE2A8" w14:textId="77777777" w:rsidR="001B0ED6" w:rsidRDefault="00000000">
            <w:pPr>
              <w:spacing w:before="40" w:after="40"/>
              <w:jc w:val="center"/>
            </w:pPr>
            <w:r>
              <w:t>0%</w:t>
            </w:r>
          </w:p>
        </w:tc>
      </w:tr>
    </w:tbl>
    <w:p w14:paraId="7833F16E" w14:textId="77777777" w:rsidR="001B0ED6" w:rsidRDefault="00000000">
      <w:pPr>
        <w:spacing w:after="120"/>
      </w:pPr>
      <w:r>
        <w:rPr>
          <w:color w:val="000000"/>
          <w:sz w:val="21"/>
        </w:rPr>
        <w:t>Overall confidence uses the weaker required membership or allocation component.</w:t>
      </w:r>
    </w:p>
    <w:p w14:paraId="7BC1FB73" w14:textId="77777777" w:rsidR="001B0ED6" w:rsidRDefault="00000000">
      <w:pPr>
        <w:keepNext/>
        <w:spacing w:after="120"/>
      </w:pPr>
      <w:r>
        <w:rPr>
          <w:b/>
          <w:color w:val="000000"/>
          <w:sz w:val="23"/>
        </w:rPr>
        <w:t>Group assignment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1B0ED6" w14:paraId="16FA255B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D85998" w14:textId="77777777" w:rsidR="001B0ED6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F20EF0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33C430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1B0ED6" w14:paraId="0F856F6D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77C538" w14:textId="77777777" w:rsidR="001B0ED6" w:rsidRDefault="00000000">
            <w:pPr>
              <w:spacing w:before="40" w:after="40"/>
            </w:pPr>
            <w:r>
              <w:t>Supported coastal/guild or historical ecological extension.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D59F74" w14:textId="77777777" w:rsidR="001B0ED6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530220" w14:textId="77777777" w:rsidR="001B0ED6" w:rsidRDefault="00000000">
            <w:pPr>
              <w:spacing w:before="40" w:after="40"/>
              <w:jc w:val="center"/>
            </w:pPr>
            <w:r>
              <w:t>26%</w:t>
            </w:r>
          </w:p>
        </w:tc>
      </w:tr>
      <w:tr w:rsidR="001B0ED6" w14:paraId="4BD35172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106E5C" w14:textId="77777777" w:rsidR="001B0ED6" w:rsidRDefault="00000000">
            <w:pPr>
              <w:spacing w:before="40" w:after="40"/>
            </w:pPr>
            <w:r>
              <w:t>Unambiguous documented generic taxonomic group fit.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667705" w14:textId="77777777" w:rsidR="001B0ED6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0CC1D" w14:textId="77777777" w:rsidR="001B0ED6" w:rsidRDefault="00000000">
            <w:pPr>
              <w:spacing w:before="40" w:after="40"/>
              <w:jc w:val="center"/>
            </w:pPr>
            <w:r>
              <w:t>20%</w:t>
            </w:r>
          </w:p>
        </w:tc>
      </w:tr>
      <w:tr w:rsidR="001B0ED6" w14:paraId="18226934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E86540" w14:textId="77777777" w:rsidR="001B0ED6" w:rsidRDefault="00000000">
            <w:pPr>
              <w:spacing w:before="40" w:after="40"/>
            </w:pPr>
            <w:r>
              <w:t>Explicit focal source taxon or genus assignment.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80EBC4" w14:textId="77777777" w:rsidR="001B0ED6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E19BCB" w14:textId="77777777" w:rsidR="001B0ED6" w:rsidRDefault="00000000">
            <w:pPr>
              <w:spacing w:before="40" w:after="40"/>
              <w:jc w:val="center"/>
            </w:pPr>
            <w:r>
              <w:t>19%</w:t>
            </w:r>
          </w:p>
        </w:tc>
      </w:tr>
      <w:tr w:rsidR="001B0ED6" w14:paraId="2E569C41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2ABB0A" w14:textId="77777777" w:rsidR="001B0ED6" w:rsidRDefault="00000000">
            <w:pPr>
              <w:spacing w:before="40" w:after="40"/>
            </w:pPr>
            <w:r>
              <w:t>Assumed complete eligible family or suborder set.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675F4" w14:textId="77777777" w:rsidR="001B0ED6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7ED47" w14:textId="77777777" w:rsidR="001B0ED6" w:rsidRDefault="00000000">
            <w:pPr>
              <w:spacing w:before="40" w:after="40"/>
              <w:jc w:val="center"/>
            </w:pPr>
            <w:r>
              <w:t>16%</w:t>
            </w:r>
          </w:p>
        </w:tc>
      </w:tr>
      <w:tr w:rsidR="001B0ED6" w14:paraId="11FF8FA2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B52CD3" w14:textId="77777777" w:rsidR="001B0ED6" w:rsidRDefault="00000000">
            <w:pPr>
              <w:spacing w:before="40" w:after="40"/>
            </w:pPr>
            <w:r>
              <w:t>Broad reporting category approximated over compatible pools.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8571E0" w14:textId="77777777" w:rsidR="001B0ED6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6E3BF9" w14:textId="77777777" w:rsidR="001B0ED6" w:rsidRDefault="00000000">
            <w:pPr>
              <w:spacing w:before="40" w:after="40"/>
              <w:jc w:val="center"/>
            </w:pPr>
            <w:r>
              <w:t>12%</w:t>
            </w:r>
          </w:p>
        </w:tc>
      </w:tr>
      <w:tr w:rsidR="001B0ED6" w14:paraId="7B639A61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360678" w14:textId="77777777" w:rsidR="001B0ED6" w:rsidRDefault="00000000">
            <w:pPr>
              <w:spacing w:before="40" w:after="40"/>
            </w:pPr>
            <w:r>
              <w:t>Related-member extension from source representatives.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2E5CC" w14:textId="77777777" w:rsidR="001B0ED6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56AE25" w14:textId="77777777" w:rsidR="001B0ED6" w:rsidRDefault="00000000">
            <w:pPr>
              <w:spacing w:before="40" w:after="40"/>
              <w:jc w:val="center"/>
            </w:pPr>
            <w:r>
              <w:t>6.0%</w:t>
            </w:r>
          </w:p>
        </w:tc>
      </w:tr>
      <w:tr w:rsidR="001B0ED6" w14:paraId="4A22C7D5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266C62" w14:textId="77777777" w:rsidR="001B0ED6" w:rsidRDefault="00000000">
            <w:pPr>
              <w:spacing w:before="40" w:after="40"/>
            </w:pPr>
            <w:r>
              <w:t>Verified source spelling or historical-name bridge.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18A9DE" w14:textId="77777777" w:rsidR="001B0ED6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398151" w14:textId="77777777" w:rsidR="001B0ED6" w:rsidRDefault="00000000">
            <w:pPr>
              <w:spacing w:before="40" w:after="40"/>
              <w:jc w:val="center"/>
            </w:pPr>
            <w:r>
              <w:t>0.27%</w:t>
            </w:r>
          </w:p>
        </w:tc>
      </w:tr>
      <w:tr w:rsidR="001B0ED6" w14:paraId="188AE798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91431" w14:textId="77777777" w:rsidR="001B0ED6" w:rsidRDefault="00000000">
            <w:pPr>
              <w:spacing w:before="40" w:after="40"/>
            </w:pPr>
            <w:r>
              <w:t>Closest represented analogue with material source mismatches.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685F28" w14:textId="77777777" w:rsidR="001B0ED6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78D0C" w14:textId="77777777" w:rsidR="001B0ED6" w:rsidRDefault="00000000">
            <w:pPr>
              <w:spacing w:before="40" w:after="40"/>
              <w:jc w:val="center"/>
            </w:pPr>
            <w:r>
              <w:t>0.27%</w:t>
            </w:r>
          </w:p>
        </w:tc>
      </w:tr>
      <w:tr w:rsidR="001B0ED6" w14:paraId="3B0C95D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E36ACB" w14:textId="77777777" w:rsidR="001B0ED6" w:rsidRDefault="00000000">
            <w:pPr>
              <w:spacing w:before="40" w:after="40"/>
            </w:pPr>
            <w:r>
              <w:t>Partial or competing ecological/taxonomic fit.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84A68A" w14:textId="77777777" w:rsidR="001B0ED6" w:rsidRDefault="00000000">
            <w:pPr>
              <w:spacing w:before="40" w:after="40"/>
              <w:jc w:val="center"/>
            </w:pPr>
            <w:r>
              <w:t>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F5F033" w14:textId="77777777" w:rsidR="001B0ED6" w:rsidRDefault="00000000">
            <w:pPr>
              <w:spacing w:before="40" w:after="40"/>
              <w:jc w:val="center"/>
            </w:pPr>
            <w:r>
              <w:t>0.056%</w:t>
            </w:r>
          </w:p>
        </w:tc>
      </w:tr>
    </w:tbl>
    <w:p w14:paraId="6CDE281C" w14:textId="77777777" w:rsidR="001B0ED6" w:rsidRDefault="00000000">
      <w:pPr>
        <w:spacing w:after="120"/>
      </w:pPr>
      <w:r>
        <w:t xml:space="preserve">Membership evidence: </w:t>
      </w:r>
      <w:hyperlink r:id="rId22">
        <w:r>
          <w:rPr>
            <w:color w:val="0563C1"/>
            <w:u w:val="single"/>
          </w:rPr>
          <w:t>Christensen (1998), p.130 and model identity</w:t>
        </w:r>
      </w:hyperlink>
      <w:r>
        <w:t xml:space="preserve">, </w:t>
      </w:r>
      <w:hyperlink r:id="rId23" w:anchor="page=19">
        <w:r>
          <w:rPr>
            <w:color w:val="0563C1"/>
            <w:u w:val="single"/>
          </w:rPr>
          <w:t>Pauly &amp; Christensen (1993), Table 2</w:t>
        </w:r>
      </w:hyperlink>
      <w:r>
        <w:t xml:space="preserve"> and </w:t>
      </w:r>
      <w:hyperlink r:id="rId24">
        <w:r>
          <w:rPr>
            <w:color w:val="0563C1"/>
            <w:u w:val="single"/>
          </w:rPr>
          <w:t>all taxon decisions</w:t>
        </w:r>
      </w:hyperlink>
    </w:p>
    <w:p w14:paraId="21B5986F" w14:textId="77777777" w:rsidR="001B0ED6" w:rsidRDefault="00000000">
      <w:pPr>
        <w:keepNext/>
        <w:pageBreakBefore/>
        <w:spacing w:after="120"/>
      </w:pPr>
      <w:r>
        <w:rPr>
          <w:b/>
          <w:color w:val="000000"/>
          <w:sz w:val="23"/>
        </w:rPr>
        <w:lastRenderedPageBreak/>
        <w:t>Allocation weight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1B0ED6" w14:paraId="0BA99D54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A5A148" w14:textId="77777777" w:rsidR="001B0ED6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292185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F7C768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1B0ED6" w14:paraId="5BB2B23A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54A01" w14:textId="77777777" w:rsidR="001B0ED6" w:rsidRDefault="00000000">
            <w:pPr>
              <w:spacing w:before="40" w:after="40"/>
            </w:pPr>
            <w:r>
              <w:t>One reviewed group receives 100%; no split.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F4BB77" w14:textId="77777777" w:rsidR="001B0ED6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C8996C" w14:textId="77777777" w:rsidR="001B0ED6" w:rsidRDefault="00000000">
            <w:pPr>
              <w:spacing w:before="40" w:after="40"/>
              <w:jc w:val="center"/>
            </w:pPr>
            <w:r>
              <w:t>66%</w:t>
            </w:r>
          </w:p>
        </w:tc>
      </w:tr>
      <w:tr w:rsidR="001B0ED6" w14:paraId="65A90F35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6C4DC8" w14:textId="77777777" w:rsidR="001B0ED6" w:rsidRDefault="00000000">
            <w:pPr>
              <w:spacing w:before="40" w:after="40"/>
            </w:pPr>
            <w:r>
              <w:t>Complete 1980 canonical export proportions, including zero candidates.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F0F561" w14:textId="77777777" w:rsidR="001B0ED6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270AA" w14:textId="77777777" w:rsidR="001B0ED6" w:rsidRDefault="00000000">
            <w:pPr>
              <w:spacing w:before="40" w:after="40"/>
              <w:jc w:val="center"/>
            </w:pPr>
            <w:r>
              <w:t>23%</w:t>
            </w:r>
          </w:p>
        </w:tc>
      </w:tr>
      <w:tr w:rsidR="001B0ED6" w14:paraId="3AC533C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B96236" w14:textId="77777777" w:rsidR="001B0ED6" w:rsidRDefault="00000000">
            <w:pPr>
              <w:spacing w:before="40" w:after="40"/>
            </w:pPr>
            <w:r>
              <w:t>Retained historical identified-catch proxy with population mismatch.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9720E" w14:textId="77777777" w:rsidR="001B0ED6" w:rsidRDefault="00000000">
            <w:pPr>
              <w:spacing w:before="40" w:after="40"/>
              <w:jc w:val="center"/>
            </w:pPr>
            <w:r>
              <w:t>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996503" w14:textId="77777777" w:rsidR="001B0ED6" w:rsidRDefault="00000000">
            <w:pPr>
              <w:spacing w:before="40" w:after="40"/>
              <w:jc w:val="center"/>
            </w:pPr>
            <w:r>
              <w:t>10%</w:t>
            </w:r>
          </w:p>
        </w:tc>
      </w:tr>
    </w:tbl>
    <w:p w14:paraId="3A61284C" w14:textId="77777777" w:rsidR="001B0ED6" w:rsidRDefault="00000000">
      <w:pPr>
        <w:spacing w:after="120"/>
      </w:pPr>
      <w:r>
        <w:t xml:space="preserve">Each percentage is the independent simple-chain PPR associated with taxa using that rule. The 1980 model-catch proportions, including zero candidates, are fixed composition proxies. Historical identified-catch proxies remain Low because donor populations and gear differ. </w:t>
      </w:r>
      <w:hyperlink r:id="rId25">
        <w:r>
          <w:rPr>
            <w:color w:val="0563C1"/>
            <w:u w:val="single"/>
          </w:rPr>
          <w:t>Weights and donor evidence</w:t>
        </w:r>
      </w:hyperlink>
    </w:p>
    <w:p w14:paraId="3C53C9DF" w14:textId="77777777" w:rsidR="001B0ED6" w:rsidRDefault="00000000">
      <w:pPr>
        <w:spacing w:after="120"/>
      </w:pPr>
      <w:r>
        <w:t xml:space="preserve">Unresolved taxa: none. The 34 Very low decisions cover 12.9493% of landings and 12.0040% of simple-chain PPR. Their specific uncertainties appear below. Very low decisions contribute 14.12% of GE, 12.01% of TE and 13.86% of With Egestion all-source PPR; Carangidae alone contributes 7.93% of GE. </w:t>
      </w:r>
      <w:hyperlink r:id="rId26">
        <w:r>
          <w:rPr>
            <w:color w:val="0563C1"/>
            <w:u w:val="single"/>
          </w:rPr>
          <w:t>Method-specific exposure</w:t>
        </w:r>
      </w:hyperlink>
    </w:p>
    <w:p w14:paraId="757436D1" w14:textId="77777777" w:rsidR="001B0ED6" w:rsidRDefault="00000000">
      <w:pPr>
        <w:keepNext/>
        <w:spacing w:after="120"/>
      </w:pPr>
      <w:r>
        <w:rPr>
          <w:b/>
          <w:color w:val="000000"/>
          <w:sz w:val="23"/>
        </w:rPr>
        <w:t>Very low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8"/>
        <w:gridCol w:w="6710"/>
      </w:tblGrid>
      <w:tr w:rsidR="001B0ED6" w14:paraId="4C1B695B" w14:textId="77777777">
        <w:trPr>
          <w:cantSplit/>
          <w:tblHeader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7E2B8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Affected taxa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16ACF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Why confidence is very low</w:t>
            </w:r>
          </w:p>
        </w:tc>
      </w:tr>
      <w:tr w:rsidR="001B0ED6" w14:paraId="17DAB74E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59FF3" w14:textId="77777777" w:rsidR="001B0ED6" w:rsidRDefault="00000000">
            <w:pPr>
              <w:spacing w:after="40"/>
            </w:pPr>
            <w:r>
              <w:rPr>
                <w:sz w:val="21"/>
              </w:rPr>
              <w:t>Carangidae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60997" w14:textId="77777777" w:rsidR="001B0ED6" w:rsidRDefault="00000000">
            <w:pPr>
              <w:spacing w:after="40"/>
            </w:pPr>
            <w:r>
              <w:rPr>
                <w:sz w:val="21"/>
              </w:rPr>
              <w:t>Scad explicitly includes Decapterus; larger predators use the large-piscivore stage pair as an analogue. The reported jacks/pompanos mixture is unknown. Model-catch proportions assume fixed 1980 composition.</w:t>
            </w:r>
          </w:p>
        </w:tc>
      </w:tr>
      <w:tr w:rsidR="001B0ED6" w14:paraId="1988F35F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6EFD2" w14:textId="77777777" w:rsidR="001B0ED6" w:rsidRDefault="00000000">
            <w:pPr>
              <w:spacing w:after="40"/>
            </w:pPr>
            <w:r>
              <w:rPr>
                <w:sz w:val="21"/>
              </w:rPr>
              <w:t>Marine fishes not identified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B25E0" w14:textId="77777777" w:rsidR="001B0ED6" w:rsidRDefault="00000000">
            <w:pPr>
              <w:spacing w:after="40"/>
            </w:pPr>
            <w:r>
              <w:rPr>
                <w:sz w:val="21"/>
              </w:rPr>
              <w:t>Unidentified bony fish may span named, residual and juvenile pools. Separate reported categories do not establish exclusions; species and stage composition is unknown. Model-catch proportions are a fixed 1980 proxy.</w:t>
            </w:r>
          </w:p>
        </w:tc>
      </w:tr>
      <w:tr w:rsidR="001B0ED6" w14:paraId="52564F54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D33B1" w14:textId="77777777" w:rsidR="001B0ED6" w:rsidRDefault="00000000">
            <w:pPr>
              <w:spacing w:after="40"/>
            </w:pPr>
            <w:r>
              <w:rPr>
                <w:sz w:val="21"/>
              </w:rPr>
              <w:t>Serranidae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4DF45" w14:textId="77777777" w:rsidR="001B0ED6" w:rsidRDefault="00000000">
            <w:pPr>
              <w:spacing w:after="40"/>
            </w:pPr>
            <w:r>
              <w:rPr>
                <w:sz w:val="21"/>
              </w:rPr>
              <w:t>The historical basses/groupers category includes Epinephelus, now Epinephelidae, while other basses are unlisted. The grouper/snapper stage union is a proxy for an unresolved taxonomic and feeding mixture; model-catch proportions are assumed.</w:t>
            </w:r>
          </w:p>
        </w:tc>
      </w:tr>
      <w:tr w:rsidR="001B0ED6" w14:paraId="29BC2958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E2D9E" w14:textId="77777777" w:rsidR="001B0ED6" w:rsidRDefault="00000000">
            <w:pPr>
              <w:spacing w:after="40"/>
            </w:pPr>
            <w:r>
              <w:rPr>
                <w:sz w:val="21"/>
              </w:rPr>
              <w:t>Alepes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8FA04" w14:textId="77777777" w:rsidR="001B0ED6" w:rsidRDefault="00000000">
            <w:pPr>
              <w:spacing w:after="40"/>
            </w:pPr>
            <w:r>
              <w:rPr>
                <w:sz w:val="21"/>
              </w:rPr>
              <w:t>Scad provides a coastal schooling Decapterus connection, but reef habitat, feeding and species composition differ. No direct source membership is documented; the whole taxon is placed in Scad.</w:t>
            </w:r>
          </w:p>
        </w:tc>
      </w:tr>
      <w:tr w:rsidR="001B0ED6" w14:paraId="0F9D5270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AF028" w14:textId="77777777" w:rsidR="001B0ED6" w:rsidRDefault="00000000">
            <w:pPr>
              <w:spacing w:after="40"/>
            </w:pPr>
            <w:r>
              <w:rPr>
                <w:sz w:val="21"/>
              </w:rPr>
              <w:t>Marine groundfishes not identified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C0A8C" w14:textId="77777777" w:rsidR="001B0ED6" w:rsidRDefault="00000000">
            <w:pPr>
              <w:spacing w:after="40"/>
            </w:pPr>
            <w:r>
              <w:rPr>
                <w:sz w:val="21"/>
              </w:rPr>
              <w:t>Plausible demersal and juvenile pools are retained, but the large-piscivore pool also contains pelagic Chirocentrus/Sphyraena. Unknown residual composition and mixed guilds require fixed 1980 model-catch proportions.</w:t>
            </w:r>
          </w:p>
        </w:tc>
      </w:tr>
      <w:tr w:rsidR="001B0ED6" w14:paraId="263DC2F6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0414C" w14:textId="77777777" w:rsidR="001B0ED6" w:rsidRDefault="00000000">
            <w:pPr>
              <w:spacing w:after="40"/>
            </w:pPr>
            <w:r>
              <w:rPr>
                <w:sz w:val="21"/>
              </w:rPr>
              <w:t>Caesio; Caesionidae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5B355" w14:textId="77777777" w:rsidR="001B0ED6" w:rsidRDefault="00000000">
            <w:pPr>
              <w:spacing w:after="40"/>
            </w:pPr>
            <w:r>
              <w:rPr>
                <w:sz w:val="21"/>
              </w:rPr>
              <w:t>Small pelagics provides a coastal schooling sardine/anchovy connection. Reef habitat, feeding and species composition differ; fusiliers are not directly named. The whole taxon is placed in that analogue.</w:t>
            </w:r>
          </w:p>
        </w:tc>
      </w:tr>
      <w:tr w:rsidR="001B0ED6" w14:paraId="3E68C4F8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D0D3E" w14:textId="77777777" w:rsidR="001B0ED6" w:rsidRDefault="00000000">
            <w:pPr>
              <w:spacing w:after="40"/>
            </w:pPr>
            <w:r>
              <w:rPr>
                <w:sz w:val="21"/>
              </w:rPr>
              <w:t>Acanthurus; Mugil; Mugilidae; Scarus; Scatophagus; Scatophagus argus; Siganidae; Siganus; Siganus canaliculatus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1CE01" w14:textId="77777777" w:rsidR="001B0ED6" w:rsidRDefault="00000000">
            <w:pPr>
              <w:spacing w:after="40"/>
            </w:pPr>
            <w:r>
              <w:rPr>
                <w:sz w:val="21"/>
              </w:rPr>
              <w:t>These unlisted coastal herbivores/omnivores have a residual-catch connection to O.fish (trash fish). Its species composition and feeding fit are unverified. Named piscivore/benthivore pools offer weaker connections; each whole taxon is assigned to O.fish.</w:t>
            </w:r>
          </w:p>
        </w:tc>
      </w:tr>
      <w:tr w:rsidR="001B0ED6" w14:paraId="7BDDFBFA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9384E" w14:textId="77777777" w:rsidR="001B0ED6" w:rsidRDefault="00000000">
            <w:pPr>
              <w:spacing w:after="40"/>
            </w:pPr>
            <w:r>
              <w:rPr>
                <w:sz w:val="21"/>
              </w:rPr>
              <w:t>Perciformes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1FCD9" w14:textId="77777777" w:rsidR="001B0ED6" w:rsidRDefault="00000000">
            <w:pPr>
              <w:spacing w:after="40"/>
            </w:pPr>
            <w:r>
              <w:rPr>
                <w:sz w:val="21"/>
              </w:rPr>
              <w:t>The historical perch-like reporting category spans scombrids, carangids and reef/demersal guilds; the current narrow order does not define that mixture. Source piscivore pools also include other orders. Model-catch proportions assume fixed composition.</w:t>
            </w:r>
          </w:p>
        </w:tc>
      </w:tr>
      <w:tr w:rsidR="001B0ED6" w14:paraId="73094373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89C6F" w14:textId="77777777" w:rsidR="001B0ED6" w:rsidRDefault="00000000">
            <w:pPr>
              <w:spacing w:after="40"/>
            </w:pPr>
            <w:r>
              <w:rPr>
                <w:sz w:val="21"/>
              </w:rPr>
              <w:lastRenderedPageBreak/>
              <w:t>Chondrichthyes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6167A" w14:textId="77777777" w:rsidR="001B0ED6" w:rsidRDefault="00000000">
            <w:pPr>
              <w:spacing w:after="40"/>
            </w:pPr>
            <w:r>
              <w:rPr>
                <w:sz w:val="21"/>
              </w:rPr>
              <w:t>Shark stages and rays approximate the reporting category; chimaeras have no documented source group. Species/stage composition is unknown. Historical whole-guild donor fractions have country, gear and period mismatches and remain Low allocation proxies.</w:t>
            </w:r>
          </w:p>
        </w:tc>
      </w:tr>
      <w:tr w:rsidR="001B0ED6" w14:paraId="35B053C7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D79A7" w14:textId="77777777" w:rsidR="001B0ED6" w:rsidRDefault="00000000">
            <w:pPr>
              <w:spacing w:after="40"/>
            </w:pPr>
            <w:r>
              <w:rPr>
                <w:sz w:val="21"/>
              </w:rPr>
              <w:t>Decapoda; Malacostraca; Miscellaneous aquatic invertebrates; Miscellaneous marine crustaceans; Mollusca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0E4A5" w14:textId="77777777" w:rsidR="001B0ED6" w:rsidRDefault="00000000">
            <w:pPr>
              <w:spacing w:after="40"/>
            </w:pPr>
            <w:r>
              <w:rPr>
                <w:sz w:val="21"/>
              </w:rPr>
              <w:t>Compatible named invertebrate, benthic and planktonic stage pools provide a practical connection. The full reported composition is unenumerated, so eligible pools and species/stage mix are approximate. Fixed 1980 model-catch proportions are assumed.</w:t>
            </w:r>
          </w:p>
        </w:tc>
      </w:tr>
      <w:tr w:rsidR="001B0ED6" w14:paraId="2CF3DC5F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AB7DC" w14:textId="77777777" w:rsidR="001B0ED6" w:rsidRDefault="00000000">
            <w:pPr>
              <w:spacing w:after="40"/>
            </w:pPr>
            <w:r>
              <w:rPr>
                <w:sz w:val="21"/>
              </w:rPr>
              <w:t>Coryphaena hippurus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C401A" w14:textId="77777777" w:rsidR="001B0ED6" w:rsidRDefault="00000000">
            <w:pPr>
              <w:spacing w:after="40"/>
            </w:pPr>
            <w:r>
              <w:rPr>
                <w:sz w:val="21"/>
              </w:rPr>
              <w:t>The large-predator stage pair connects to source coastal piscivores, but dolphinfish is unlisted and Tuna is a plausible competing pelagic analogue. Surface habitat and source composition differ. The accepted stage split uses fixed 1980 model-catch proportions.</w:t>
            </w:r>
          </w:p>
        </w:tc>
      </w:tr>
      <w:tr w:rsidR="001B0ED6" w14:paraId="2AA3418A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9E176" w14:textId="77777777" w:rsidR="001B0ED6" w:rsidRDefault="00000000">
            <w:pPr>
              <w:spacing w:after="40"/>
            </w:pPr>
            <w:r>
              <w:rPr>
                <w:sz w:val="21"/>
              </w:rPr>
              <w:t>Istiompax indica; Istiophoridae; Istiophorus; Istiophorus platypterus; Kajikia audax; Makaira; Makaira mazara; Tetrapturus angustirostris; Xiphias gladius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B2124" w14:textId="77777777" w:rsidR="001B0ED6" w:rsidRDefault="00000000">
            <w:pPr>
              <w:spacing w:after="40"/>
            </w:pPr>
            <w:r>
              <w:rPr>
                <w:sz w:val="21"/>
              </w:rPr>
              <w:t>The 1993 predecessor places billfish with tuna in Large pelagics, supporting a crosswalk to focal Tuna. Focal members are coastal tuna examples; oceanic/deeper habitat and narrower taxonomy limit the analogy. No focal billfish membership or donor coefficients are implied.</w:t>
            </w:r>
          </w:p>
        </w:tc>
      </w:tr>
      <w:tr w:rsidR="001B0ED6" w14:paraId="6CC6522D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0E7E" w14:textId="77777777" w:rsidR="001B0ED6" w:rsidRDefault="00000000">
            <w:pPr>
              <w:spacing w:after="40"/>
            </w:pPr>
            <w:r>
              <w:rPr>
                <w:sz w:val="21"/>
              </w:rPr>
              <w:t>Marine pelagic fishes not identified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6DCED" w14:textId="77777777" w:rsidR="001B0ED6" w:rsidRDefault="00000000">
            <w:pPr>
              <w:spacing w:after="40"/>
            </w:pPr>
            <w:r>
              <w:rPr>
                <w:sz w:val="21"/>
              </w:rPr>
              <w:t>Named pelagic pools and mixed guilds containing Chirocentrus/Sphyraena or Pampus provide positive source connections. The full residual species/stage mixture is unknown; explicit demersal exclusions do not remove mixed-guild uncertainty. Fixed 1980 model-catch proportions are assumed.</w:t>
            </w:r>
          </w:p>
        </w:tc>
      </w:tr>
    </w:tbl>
    <w:p w14:paraId="0F4B7FB6" w14:textId="77777777" w:rsidR="001B0ED6" w:rsidRDefault="00000000">
      <w:r>
        <w:br w:type="page"/>
      </w:r>
    </w:p>
    <w:p w14:paraId="5E6F2A3A" w14:textId="77777777" w:rsidR="001B0ED6" w:rsidRDefault="00000000">
      <w:pPr>
        <w:pStyle w:val="aa"/>
        <w:keepNext/>
        <w:pageBreakBefore/>
      </w:pPr>
      <w:r>
        <w:lastRenderedPageBreak/>
        <w:t>Geographic evidence screenshots</w:t>
      </w:r>
    </w:p>
    <w:p w14:paraId="69B3ED5A" w14:textId="77777777" w:rsidR="001B0ED6" w:rsidRDefault="00000000">
      <w:pPr>
        <w:spacing w:after="40" w:line="240" w:lineRule="auto"/>
      </w:pPr>
      <w:r>
        <w:t>Target region R is the Sea Around Us LME. The focal source specifies a 10–50 m shelf domain, but its original study boundary is unavailable. Pauly &amp; Chuenpagdee (2003), Figure 14-1, provides contextual geography; its illustrative trace does not establish the focal study extent.</w:t>
      </w:r>
    </w:p>
    <w:p w14:paraId="36A58052" w14:textId="77777777" w:rsidR="001B0ED6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1B0ED6" w14:paraId="42E4EBF3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88F7A" w14:textId="77777777" w:rsidR="001B0ED6" w:rsidRDefault="00000000">
            <w:pPr>
              <w:spacing w:after="40"/>
            </w:pPr>
            <w:r>
              <w:t>Gulf of Thailand target and shelf context</w:t>
            </w:r>
          </w:p>
        </w:tc>
      </w:tr>
      <w:tr w:rsidR="001B0ED6" w14:paraId="27A0EF34" w14:textId="77777777">
        <w:trPr>
          <w:cantSplit/>
          <w:trHeight w:val="2880"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C9EB2" w14:textId="77777777" w:rsidR="001B0ED6" w:rsidRDefault="00000000">
            <w:pPr>
              <w:spacing w:after="40" w:line="240" w:lineRule="auto"/>
            </w:pPr>
            <w:r>
              <w:rPr>
                <w:noProof/>
              </w:rPr>
              <w:drawing>
                <wp:inline distT="0" distB="0" distL="0" distR="0" wp14:anchorId="625228C7" wp14:editId="04F342F9">
                  <wp:extent cx="4572000" cy="43281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55DE1" w14:textId="77777777" w:rsidR="001B0ED6" w:rsidRDefault="00000000">
      <w:pPr>
        <w:spacing w:after="40" w:line="240" w:lineRule="auto"/>
      </w:pPr>
      <w:r>
        <w:t xml:space="preserve">Target R: 387,239 km². Blue shows the target; orange shows an approximate contextual shelf trace within the lineage map boundary. Coastline and islands are simplified.  </w:t>
      </w:r>
      <w:hyperlink r:id="rId28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Context trace</w:t>
        </w:r>
      </w:hyperlink>
    </w:p>
    <w:p w14:paraId="3CEF5F39" w14:textId="77777777" w:rsidR="001B0ED6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1B0ED6" w14:paraId="111B944D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4E96B" w14:textId="77777777" w:rsidR="001B0ED6" w:rsidRDefault="00000000">
            <w:pPr>
              <w:spacing w:after="40"/>
            </w:pPr>
            <w:r>
              <w:t>Illustrative depth context from lineage map</w:t>
            </w:r>
          </w:p>
        </w:tc>
      </w:tr>
      <w:tr w:rsidR="001B0ED6" w14:paraId="44A2F667" w14:textId="77777777">
        <w:trPr>
          <w:cantSplit/>
          <w:trHeight w:val="2880"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50D0F" w14:textId="77777777" w:rsidR="001B0ED6" w:rsidRDefault="00000000">
            <w:pPr>
              <w:spacing w:after="40" w:line="240" w:lineRule="auto"/>
            </w:pPr>
            <w:r>
              <w:rPr>
                <w:noProof/>
              </w:rPr>
              <w:drawing>
                <wp:inline distT="0" distB="0" distL="0" distR="0" wp14:anchorId="035CF46C" wp14:editId="20197BEC">
                  <wp:extent cx="4572000" cy="43281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3B438" w14:textId="77777777" w:rsidR="001B0ED6" w:rsidRDefault="00000000">
      <w:pPr>
        <w:spacing w:after="40" w:line="240" w:lineRule="auto"/>
      </w:pPr>
      <w:r>
        <w:t xml:space="preserve">Contextual trace: 112,695 km²; intersection: 102,520 km². Contextual A ≈ 26.5%; B ≈ 91.0%. The reported larger 0–50 m band (≈150,000 km², ≈38.7% of R) is separate area context. Neither identifies the missing focal 10 m boundary or full study extent.  </w:t>
      </w:r>
      <w:hyperlink r:id="rId30" w:anchor="page=2">
        <w:r>
          <w:rPr>
            <w:color w:val="0563C1"/>
            <w:u w:val="single"/>
          </w:rPr>
          <w:t>Lineage Figure14-1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Calibration and limits</w:t>
        </w:r>
      </w:hyperlink>
    </w:p>
    <w:p w14:paraId="66B5AA46" w14:textId="77777777" w:rsidR="001B0ED6" w:rsidRDefault="00000000">
      <w:pPr>
        <w:pageBreakBefore/>
        <w:spacing w:after="40" w:line="240" w:lineRule="auto"/>
      </w:pPr>
      <w:r>
        <w:lastRenderedPageBreak/>
        <w:t>Contextual Figure 14-1 from Pauly &amp; Chuenpagdee (2003), printed p.338 / PDF p.2. Its 50 m contour and angular location boundary do not constitute the original focal study map.</w:t>
      </w:r>
      <w:r>
        <w:rPr>
          <w:noProof/>
        </w:rPr>
        <w:drawing>
          <wp:inline distT="0" distB="0" distL="0" distR="0" wp14:anchorId="0CB3D86A" wp14:editId="6A821F84">
            <wp:extent cx="4572000" cy="5647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figure14_1_cropp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ED6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A610F4"/>
    <w:multiLevelType w:val="hybridMultilevel"/>
    <w:tmpl w:val="0032D188"/>
    <w:lvl w:ilvl="0" w:tplc="12CEAD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625366">
    <w:abstractNumId w:val="8"/>
  </w:num>
  <w:num w:numId="2" w16cid:durableId="290063965">
    <w:abstractNumId w:val="6"/>
  </w:num>
  <w:num w:numId="3" w16cid:durableId="1312295145">
    <w:abstractNumId w:val="5"/>
  </w:num>
  <w:num w:numId="4" w16cid:durableId="1703898233">
    <w:abstractNumId w:val="4"/>
  </w:num>
  <w:num w:numId="5" w16cid:durableId="1973289889">
    <w:abstractNumId w:val="7"/>
  </w:num>
  <w:num w:numId="6" w16cid:durableId="2098940838">
    <w:abstractNumId w:val="3"/>
  </w:num>
  <w:num w:numId="7" w16cid:durableId="1852572589">
    <w:abstractNumId w:val="2"/>
  </w:num>
  <w:num w:numId="8" w16cid:durableId="1984238878">
    <w:abstractNumId w:val="1"/>
  </w:num>
  <w:num w:numId="9" w16cid:durableId="1164855730">
    <w:abstractNumId w:val="0"/>
  </w:num>
  <w:num w:numId="10" w16cid:durableId="1112827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ED6"/>
    <w:rsid w:val="0029639D"/>
    <w:rsid w:val="00326F90"/>
    <w:rsid w:val="004D290C"/>
    <w:rsid w:val="005255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6C9FF"/>
  <w14:defaultImageDpi w14:val="300"/>
  <w15:docId w15:val="{C366246D-965A-49A0-BE18-9025B6C0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../../../LME035-Premcharoen-2012" TargetMode="External"/><Relationship Id="rId18" Type="http://schemas.openxmlformats.org/officeDocument/2006/relationships/hyperlink" Target="../model_notes.md" TargetMode="External"/><Relationship Id="rId26" Type="http://schemas.openxmlformats.org/officeDocument/2006/relationships/hyperlink" Target="evidence/source_review/method_specific_mapping_exposure.json" TargetMode="External"/><Relationship Id="rId3" Type="http://schemas.openxmlformats.org/officeDocument/2006/relationships/styles" Target="styles.xml"/><Relationship Id="rId21" Type="http://schemas.openxmlformats.org/officeDocument/2006/relationships/hyperlink" Target="taxon_mapping.xlsx" TargetMode="External"/><Relationship Id="rId34" Type="http://schemas.openxmlformats.org/officeDocument/2006/relationships/theme" Target="theme/theme1.xml"/><Relationship Id="rId7" Type="http://schemas.openxmlformats.org/officeDocument/2006/relationships/hyperlink" Target="../../../../../raw/catch/LME_035-catch.zip" TargetMode="External"/><Relationship Id="rId12" Type="http://schemas.openxmlformats.org/officeDocument/2006/relationships/hyperlink" Target="../../../../GOT-2003" TargetMode="External"/><Relationship Id="rId17" Type="http://schemas.openxmlformats.org/officeDocument/2006/relationships/hyperlink" Target="evidence/source_review/matrix_inspection.json" TargetMode="External"/><Relationship Id="rId25" Type="http://schemas.openxmlformats.org/officeDocument/2006/relationships/hyperlink" Target="evidence/source_review/candidate_and_allocation_evidence.json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evidence/source_review/source_review.md" TargetMode="External"/><Relationship Id="rId20" Type="http://schemas.openxmlformats.org/officeDocument/2006/relationships/hyperlink" Target="taxon_mapping.xlsx" TargetMode="External"/><Relationship Id="rId29" Type="http://schemas.openxmlformats.org/officeDocument/2006/relationships/hyperlink" Target="evidence/source_review/geography/contextual_0_50m_shelf_trace.geojso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../../../../../LME_035.xlsx" TargetMode="External"/><Relationship Id="rId11" Type="http://schemas.openxmlformats.org/officeDocument/2006/relationships/hyperlink" Target="evidence/source_review/independent_review/Pauly_Christensen_1993.pdf" TargetMode="External"/><Relationship Id="rId24" Type="http://schemas.openxmlformats.org/officeDocument/2006/relationships/hyperlink" Target="evidence/source_review/taxon_audit.json" TargetMode="External"/><Relationship Id="rId32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evidence/source_review/source_fidelity_review.json" TargetMode="External"/><Relationship Id="rId23" Type="http://schemas.openxmlformats.org/officeDocument/2006/relationships/hyperlink" Target="evidence/source_review/independent_review/Pauly_Christensen_1993.pdf" TargetMode="External"/><Relationship Id="rId28" Type="http://schemas.openxmlformats.org/officeDocument/2006/relationships/hyperlink" Target="evidence/source_review/geography/target_region.geojson" TargetMode="External"/><Relationship Id="rId10" Type="http://schemas.openxmlformats.org/officeDocument/2006/relationships/hyperlink" Target="../../../sources/source-facts.json" TargetMode="External"/><Relationship Id="rId19" Type="http://schemas.openxmlformats.org/officeDocument/2006/relationships/hyperlink" Target="evidence/source_review/matrix_inspection.json" TargetMode="External"/><Relationship Id="rId31" Type="http://schemas.openxmlformats.org/officeDocument/2006/relationships/hyperlink" Target="evidence/source_review/geography/geographic_assessment.js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cademia.edu/1483062/Fishery_induced_changes_in_a_marine_ecosystem_insight_from_models_of_the_Gulf_of_Thailand" TargetMode="External"/><Relationship Id="rId14" Type="http://schemas.openxmlformats.org/officeDocument/2006/relationships/hyperlink" Target="../model.json" TargetMode="External"/><Relationship Id="rId22" Type="http://schemas.openxmlformats.org/officeDocument/2006/relationships/hyperlink" Target="../../../sources/source-facts.json" TargetMode="External"/><Relationship Id="rId27" Type="http://schemas.openxmlformats.org/officeDocument/2006/relationships/image" Target="media/image1.png"/><Relationship Id="rId30" Type="http://schemas.openxmlformats.org/officeDocument/2006/relationships/hyperlink" Target="../../../sources/Pauly-Chuenpagdee-2003.pdf" TargetMode="External"/><Relationship Id="rId8" Type="http://schemas.openxmlformats.org/officeDocument/2006/relationships/hyperlink" Target="https://doi.org/10.1111/j.1095-8649.1998.tb01023.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2093</Words>
  <Characters>10470</Characters>
  <Application>Microsoft Office Word</Application>
  <DocSecurity>0</DocSecurity>
  <Lines>87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2</cp:revision>
  <dcterms:created xsi:type="dcterms:W3CDTF">2013-12-23T23:15:00Z</dcterms:created>
  <dcterms:modified xsi:type="dcterms:W3CDTF">2026-10-08T12:24:00Z</dcterms:modified>
  <cp:category/>
</cp:coreProperties>
</file>