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 model validation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 w:val="true"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 w:val="0"/>
              <w:spacing w:after="40" w:before="0" w:line="240" w:lineRule="auto"/>
            </w:pPr>
            <w:hyperlink r:id="rId9">
              <w:r>
                <w:rPr>
                  <w:rStyle w:val="Hyperlink"/>
                  <w:color w:val="0563C1"/>
                  <w:u w:val="single"/>
                </w:rPr>
                <w:t>Bay of Bengal regional workbook</w:t>
              </w:r>
            </w:hyperlink>
            <w:r>
              <w:t xml:space="preserve"> (LME_034).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 w:val="0"/>
              <w:spacing w:after="40" w:before="0" w:line="240" w:lineRule="auto"/>
            </w:pPr>
            <w:r>
              <w:t>Sea Around Us regional catch series, 1950–2019. Reference: 2019 landings, excluding discards. Dataset version/download date: ?; retained source inventory dated 3 September 2026.</w:t>
            </w:r>
          </w:p>
          <w:p>
            <w:pPr>
              <w:keepNext w:val="0"/>
            </w:pPr>
            <w:hyperlink r:id="rId9">
              <w:r>
                <w:rPr>
                  <w:rStyle w:val="Hyperlink"/>
                  <w:color w:val="0563C1"/>
                  <w:u w:val="single"/>
                </w:rPr>
                <w:t>Regional catch and classic-PPR tables</w:t>
              </w:r>
            </w:hyperlink>
            <w:r>
              <w:t xml:space="preserve"> | </w:t>
            </w:r>
            <w:hyperlink r:id="rId10">
              <w:r>
                <w:rPr>
                  <w:rStyle w:val="Hyperlink"/>
                  <w:color w:val="0563C1"/>
                  <w:u w:val="single"/>
                </w:rPr>
                <w:t>Retained catch archive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 w:val="0"/>
              <w:spacing w:after="40" w:before="0" w:line="240" w:lineRule="auto"/>
            </w:pPr>
            <w:r>
              <w:t>Guénette, S. (December 2013). An exploratory ecosystem model of the Bay of Bengal Large Marine Ecosystem. 62-page report; the later 2014 distributed edition is distinct.</w:t>
            </w:r>
          </w:p>
          <w:p>
            <w:pPr>
              <w:keepNext w:val="0"/>
            </w:pPr>
            <w:hyperlink r:id="rId11">
              <w:r>
                <w:rPr>
                  <w:rStyle w:val="Hyperlink"/>
                  <w:color w:val="0563C1"/>
                  <w:u w:val="single"/>
                </w:rPr>
                <w:t>Original report PDF</w:t>
              </w:r>
            </w:hyperlink>
            <w:r>
              <w:t xml:space="preserve"> | </w:t>
            </w:r>
            <w:hyperlink r:id="rId12">
              <w:r>
                <w:rPr>
                  <w:rStyle w:val="Hyperlink"/>
                  <w:color w:val="0563C1"/>
                  <w:u w:val="single"/>
                </w:rPr>
                <w:t>Paper folder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 w:val="0"/>
              <w:spacing w:after="40" w:before="0" w:line="240" w:lineRule="auto"/>
            </w:pPr>
            <w:hyperlink r:id="rId13">
              <w:r>
                <w:rPr>
                  <w:rStyle w:val="Hyperlink"/>
                  <w:color w:val="0563C1"/>
                  <w:u w:val="single"/>
                </w:rPr>
                <w:t>Guénette (2014), User’s guide to the Ecopath with Ecosim model of the Bay of Bengal Large Marine Ecosystem</w:t>
              </w:r>
            </w:hyperlink>
            <w:r>
              <w:t>. Related guide; no verified local copy.</w:t>
            </w:r>
          </w:p>
          <w:p>
            <w:pPr>
              <w:keepNext w:val="0"/>
            </w:pPr>
            <w:r>
              <w:t>Karim et al. (2019), Ecopath model of the coastal fisheries ecosystem of Bangladesh: unverified legacy inventory entry; separate from Karim (2018).</w:t>
            </w:r>
          </w:p>
          <w:p>
            <w:pPr>
              <w:keepNext w:val="0"/>
            </w:pPr>
            <w:hyperlink r:id="rId14">
              <w:r>
                <w:rPr>
                  <w:rStyle w:val="Hyperlink"/>
                  <w:color w:val="0563C1"/>
                  <w:u w:val="single"/>
                </w:rPr>
                <w:t>Dutta, Paul &amp; Homechaudhuri (2023), Food web structure and trophic interactions of the Northern Bay of Bengal ecosystem</w:t>
              </w:r>
            </w:hyperlink>
            <w:r>
              <w:t xml:space="preserve"> (29 groups, West Bengal subregion); </w:t>
            </w:r>
            <w:hyperlink r:id="rId15">
              <w:r>
                <w:rPr>
                  <w:rStyle w:val="Hyperlink"/>
                  <w:color w:val="0563C1"/>
                  <w:u w:val="single"/>
                </w:rPr>
                <w:t>local PDF</w:t>
              </w:r>
            </w:hyperlink>
            <w:r>
              <w:t>.</w:t>
            </w:r>
          </w:p>
          <w:p>
            <w:pPr>
              <w:keepNext w:val="0"/>
            </w:pPr>
            <w:hyperlink r:id="rId16">
              <w:r>
                <w:rPr>
                  <w:rStyle w:val="Hyperlink"/>
                  <w:color w:val="0563C1"/>
                  <w:u w:val="single"/>
                </w:rPr>
                <w:t>Karim et al. (2018), Ecosystem modeling of the resettled maritime area of the Bay of Bengal, Bangladesh through well-adjusted Ecopath approach</w:t>
              </w:r>
            </w:hyperlink>
            <w:r>
              <w:t xml:space="preserve"> (19 groups, &gt;90,000 km²); </w:t>
            </w:r>
            <w:hyperlink r:id="rId17">
              <w:r>
                <w:rPr>
                  <w:rStyle w:val="Hyperlink"/>
                  <w:color w:val="0563C1"/>
                  <w:u w:val="single"/>
                </w:rPr>
                <w:t>local PDF</w:t>
              </w:r>
            </w:hyperlink>
            <w:r>
              <w:t>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 w:val="0"/>
              <w:spacing w:after="40" w:before="0" w:line="240" w:lineRule="auto"/>
            </w:pPr>
            <w:r>
              <w:t>34_1_Bay_of_Bengal_(1978). Baseline 1978; Bay of Bengal LME extended to Maldives, northern Sumatra and adjacent high seas (6,205,051 km²). 49 source ecological groups (+1 computational diet-import group).</w:t>
            </w:r>
          </w:p>
          <w:p>
            <w:pPr>
              <w:keepNext w:val="0"/>
            </w:pPr>
            <w:hyperlink r:id="rId18">
              <w:r>
                <w:rPr>
                  <w:rStyle w:val="Hyperlink"/>
                  <w:color w:val="0563C1"/>
                  <w:u w:val="single"/>
                </w:rPr>
                <w:t>Selected JSON</w:t>
              </w:r>
            </w:hyperlink>
            <w:r>
              <w:t xml:space="preserve"> | </w:t>
            </w:r>
            <w:hyperlink r:id="rId19">
              <w:r>
                <w:rPr>
                  <w:rStyle w:val="Hyperlink"/>
                  <w:color w:val="0563C1"/>
                  <w:u w:val="single"/>
                </w:rPr>
                <w:t>Model folder</w:t>
              </w:r>
            </w:hyperlink>
            <w:r>
              <w:t xml:space="preserve"> | </w:t>
            </w:r>
            <w:hyperlink r:id="rId20">
              <w:r>
                <w:rPr>
                  <w:rStyle w:val="Hyperlink"/>
                  <w:color w:val="0563C1"/>
                  <w:u w:val="single"/>
                </w:rPr>
                <w:t>Saved coefficient workbook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 w:val="0"/>
              <w:spacing w:after="40" w:before="0" w:line="240" w:lineRule="auto"/>
            </w:pPr>
            <w:r>
              <w:t>No other distinct static model identified. Initial and balanced inputs are states of the same 1978 baseline. The 1978–2010 Ecosim runs and alternative industrial-effort fits are scenarios of that baseline (pp6–7, 23–24, 28–29; Appendix A6).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 w:val="0"/>
              <w:spacing w:after="40" w:before="0" w:line="240" w:lineRule="auto"/>
            </w:pPr>
            <w:r>
              <w:t>Article: ?  Model: ?</w:t>
            </w:r>
          </w:p>
          <w:p>
            <w:pPr>
              <w:keepNext w:val="0"/>
            </w:pPr>
            <w:r>
              <w:t>Recorded selection note: “Bay of Bengal pilot model; see source and mapping notes for coverage.” Comparative reasons were not recorded.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 w:val="0"/>
              <w:spacing w:after="40" w:before="0" w:line="240" w:lineRule="auto"/>
            </w:pPr>
            <w:r>
              <w:t>Balanced Table 16 parameters are reproduced; whole-area biomass uses habitat fraction × habitat biomass. Published diet columns contain omissions (Table 17; Appendix A3.2). The JSON normalizes nonzero columns and inserts a detritus diet for all-zero 3 Meiobenthos.</w:t>
            </w:r>
          </w:p>
          <w:p>
            <w:pPr>
              <w:keepNext w:val="0"/>
            </w:pPr>
            <w:r>
              <w:t>These transformations change production closure by up to 77.3%; the constructor derives biomass accumulation to close the transformed input and sets detritus EE to 1. Derived BA is not an observation. Native author-model fidelity remains unverified.</w:t>
            </w:r>
          </w:p>
          <w:p>
            <w:pPr>
              <w:keepNext w:val="0"/>
            </w:pPr>
            <w:hyperlink r:id="rId21">
              <w:r>
                <w:rPr>
                  <w:rStyle w:val="Hyperlink"/>
                  <w:color w:val="0563C1"/>
                  <w:u w:val="single"/>
                </w:rPr>
                <w:t>Source reconstruction findings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t>Bay of Bengal • LME_034 • 1978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 w:val="true"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 w:val="0"/>
              <w:spacing w:after="40" w:before="0" w:line="240" w:lineRule="auto"/>
            </w:pPr>
            <w:r>
              <w:t>No negative SPPR entries across the basal-source columns. ρ_living = 0.7405556; b = 0.3145061. Detritus (49) SPPR = 1.6787253.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 w:val="0"/>
              <w:spacing w:after="40" w:before="0" w:line="240" w:lineRule="auto"/>
            </w:pPr>
            <w:r>
              <w:t>No negative SPPR entries across the basal-source columns. ρ_living = 0.7844868. Detritus (49) SPPR = 0.7954499.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 w:val="0"/>
              <w:spacing w:after="40" w:before="0" w:line="240" w:lineRule="auto"/>
            </w:pPr>
            <w:r>
              <w:t>Approximate overlap: A ≈ 100% of the target LME covered by the study; B ≈ 59% of the study covered by the target LME. Study extension to Maldives and high seas limits transfer of pooled coefficients/weights. No exact digital author boundary was recovered.</w:t>
            </w:r>
          </w:p>
          <w:p>
            <w:pPr>
              <w:keepNext w:val="0"/>
            </w:pPr>
            <w:hyperlink r:id="rId22">
              <w:r>
                <w:rPr>
                  <w:rStyle w:val="Hyperlink"/>
                  <w:color w:val="0563C1"/>
                  <w:u w:val="single"/>
                </w:rPr>
                <w:t>Geographic evidence and area calculation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 w:val="0"/>
              <w:spacing w:after="40" w:before="0" w:line="240" w:lineRule="auto"/>
            </w:pPr>
            <w:r>
              <w:t>The static model represents 1978; retained catch series spans 1950–2019 and the validation reference is 2019. Fixed model coefficients and pooled 1978 total-catch weights assume stable food-web structure, taxon composition and fishery geography across years and catch bases.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 w:val="0"/>
              <w:spacing w:after="40" w:before="0" w:line="240" w:lineRule="auto"/>
            </w:pPr>
            <w:r>
              <w:t>Model-derived estimates remain provisional because source diet reconstruction and derived BA are unresolved. Numerical reproducibility does not establish author-native balance.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 2019 landings, excluding discards.</w:t>
      </w:r>
    </w:p>
    <w:p>
      <w:pPr>
        <w:keepNext w:val="0"/>
        <w:pageBreakBefore w:val="0"/>
        <w:spacing w:after="120"/>
      </w:pPr>
      <w:r>
        <w:t>49 source ecological groups (+1 computational import); 315 catch-taxon labels, including 28 zero-landings labels.</w:t>
      </w:r>
    </w:p>
    <w:p>
      <w:pPr>
        <w:keepNext w:val="0"/>
        <w:pageBreakBefore w:val="0"/>
        <w:spacing w:after="120"/>
      </w:pPr>
      <w:r>
        <w:t>Total simple-chain PPR (2019): 379,324,412.047 tonnes C.</w:t>
      </w:r>
    </w:p>
    <w:p>
      <w:pPr>
        <w:keepNext w:val="0"/>
        <w:pageBreakBefore w:val="0"/>
        <w:spacing w:after="120"/>
      </w:pPr>
      <w:r>
        <w:t>27 zero-landings labels lack a saved simple-chain coefficient and TL. They contribute zero annual PPR; no positive-landings taxon has unknown simple-chain PPR.</w:t>
      </w:r>
    </w:p>
    <w:p>
      <w:pPr>
        <w:keepNext w:val="0"/>
        <w:pageBreakBefore w:val="0"/>
        <w:spacing w:after="120"/>
      </w:pPr>
      <w:r>
        <w:t>Method: simple trophic chain.</w:t>
      </w:r>
    </w:p>
    <w:p>
      <w:pPr>
        <w:keepNext w:val="0"/>
        <w:pageBreakBefore w:val="0"/>
        <w:spacing w:after="120"/>
      </w:pPr>
      <w:hyperlink r:id="rId23">
        <w:r>
          <w:rPr>
            <w:rStyle w:val="Hyperlink"/>
            <w:color w:val="0563C1"/>
            <w:u w:val="single"/>
          </w:rPr>
          <w:t>Full taxon-mapping appendix</w:t>
        </w:r>
      </w:hyperlink>
      <w:r>
        <w:t xml:space="preserve"> | </w:t>
      </w:r>
      <w:hyperlink r:id="rId23" w:anchor="'Sources'!A1">
        <w:r>
          <w:rPr>
            <w:rStyle w:val="Hyperlink"/>
            <w:color w:val="0563C1"/>
            <w:u w:val="single"/>
          </w:rPr>
          <w:t>Sources and detailed evidence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 w:val="true"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</w:pPr>
            <w:r>
              <w:rPr>
                <w:b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rPr>
                <w:b/>
              </w:rPr>
              <w:t>Taxa (n)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rPr>
                <w:b/>
              </w:rPr>
              <w:t>Catch (%)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rPr>
                <w:b/>
              </w:rPr>
              <w:t>Simple-chain PPR (%)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66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20.0050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24.5910</w:t>
            </w:r>
          </w:p>
        </w:tc>
      </w:tr>
      <w:tr>
        <w:trPr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244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59.1735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67.6100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0.0000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0.0000</w:t>
            </w:r>
          </w:p>
        </w:tc>
      </w:tr>
      <w:tr>
        <w:trPr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5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20.8215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7.7990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0.0000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0.0000</w:t>
            </w:r>
          </w:p>
        </w:tc>
      </w:tr>
    </w:tbl>
    <w:p>
      <w:pPr>
        <w:keepNext w:val="0"/>
        <w:pageBreakBefore w:val="0"/>
        <w:spacing w:after="120"/>
      </w:pPr>
      <w:r>
        <w:t>Overall confidence is the weaker necessary group-assignment or allocation-weight confidence.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p>
      <w:r>
        <w:t xml:space="preserve">Membership evidence: Guénette (2013), A1.1 pp37–41 and A1.3 pp43–45; authoritative taxonomy and habitat records. </w:t>
      </w:r>
      <w:hyperlink r:id="rId24">
        <w:r>
          <w:rPr>
            <w:rStyle w:val="Hyperlink"/>
            <w:color w:val="0563C1"/>
            <w:u w:val="single"/>
          </w:rPr>
          <w:t>Detailed evidence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 w:val="true"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</w:pPr>
            <w:r>
              <w:t>Explicit assignment in the selected source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60.3323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</w:pPr>
            <w:r>
              <w:t>Assumed eligible set from source definitions and regional taxonomy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28.2780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</w:pPr>
            <w:r>
              <w:t>Broad reporting category approximated by compatible named and residual groups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7.7990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</w:pPr>
            <w:r>
              <w:t>Unambiguous fit to a completely defined source group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2.5513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</w:pPr>
            <w:r>
              <w:t>Supported extension from source-listed relatives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0.6593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</w:pPr>
            <w:r>
              <w:t>Verified same-taxon synonym of an explicit source member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0.3802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</w:pPr>
            <w:r>
              <w:t>Supported ecological extension to a represented guild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0.0000</w:t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p>
      <w:r>
        <w:t xml:space="preserve">Weights and assumptions: Guénette (2013), A2.1 p46; pooled 1978 model-catch proportions and transfer assumptions. </w:t>
      </w:r>
      <w:hyperlink r:id="rId23">
        <w:r>
          <w:rPr>
            <w:rStyle w:val="Hyperlink"/>
            <w:color w:val="0563C1"/>
            <w:u w:val="single"/>
          </w:rPr>
          <w:t>Detailed evidence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 w:val="true"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</w:pPr>
            <w:r>
              <w:t>Source-model catch proportions transferred across taxon composition, years and catch bases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75.4090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</w:pPr>
            <w:r>
              <w:t>Entire taxon assigned to one group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/>
              <w:jc w:val="center"/>
            </w:pPr>
            <w:r>
              <w:t>24.5910</w:t>
            </w:r>
          </w:p>
        </w:tc>
      </w:tr>
    </w:tbl>
    <w:p>
      <w:pPr>
        <w:keepNext w:val="0"/>
        <w:pageBreakBefore w:val="0"/>
        <w:spacing w:after="120"/>
      </w:pPr>
      <w:r>
        <w:t>Rule percentages describe each component’s share of the same available simple-chain PPR.</w:t>
      </w:r>
    </w:p>
    <w:p>
      <w:pPr>
        <w:keepNext w:val="0"/>
        <w:pageBreakBefore w:val="0"/>
        <w:spacing w:after="120"/>
      </w:pPr>
      <w:r>
        <w:t>No unresolved mappings remain. Very low assignments account for 20.8215% of landings and 7.7990% of simple-chain PPR: Marine fishes not identified, Perciformes, Marine pelagic fishes not identified, Scombroidei and Malacostraca. Their broad reporting mixtures are approximated by compatible named and residual pools; source-model catches proxy the unknown composition.</w:t>
      </w:r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Target region R and source-model study area S, used for the approximate geographic comparison.</w:t>
      </w:r>
    </w:p>
    <w:p>
      <w:pPr>
        <w:pStyle w:val="Heading2"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 w:val="true"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Target region boundary</w:t>
            </w:r>
          </w:p>
        </w:tc>
      </w:tr>
      <w:tr>
        <w:trPr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 w:val="0"/>
              <w:spacing w:after="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60720" cy="48911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LME034_boundary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8911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>R: Bay of Bengal LME_034. WGS84 geodesic area ≈ 3,664,447 km²; project Sea Around Us boundary, region_id 34. Natural Earth land is a display basemap.</w:t>
      </w:r>
    </w:p>
    <w:p>
      <w:pPr>
        <w:pStyle w:val="Heading2"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 w:val="true"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Study boundary for the selected model</w:t>
            </w:r>
          </w:p>
        </w:tc>
      </w:tr>
      <w:tr>
        <w:trPr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 w:val="0"/>
              <w:spacing w:after="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60720" cy="47059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figure1_p0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705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>S: Guénette (2013), Figure 1, p8. The study includes Maldives and adjacent high seas; Table 1 gives 6,205,051 km².</w:t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LME_034.xlsx" TargetMode="External"/><Relationship Id="rId10" Type="http://schemas.openxmlformats.org/officeDocument/2006/relationships/hyperlink" Target="raw/LME_034-catch.zip" TargetMode="External"/><Relationship Id="rId11" Type="http://schemas.openxmlformats.org/officeDocument/2006/relationships/hyperlink" Target="papers/LME034-Guenette-2013/009031359-84f3dc3d.pdf" TargetMode="External"/><Relationship Id="rId12" Type="http://schemas.openxmlformats.org/officeDocument/2006/relationships/hyperlink" Target="papers/LME034-Guenette-2013/" TargetMode="External"/><Relationship Id="rId13" Type="http://schemas.openxmlformats.org/officeDocument/2006/relationships/hyperlink" Target="https://www.boblme.org/documentRepository/BOBLME-2014-Ecology-13.pdf" TargetMode="External"/><Relationship Id="rId14" Type="http://schemas.openxmlformats.org/officeDocument/2006/relationships/hyperlink" Target="https://doi.org/10.1016/j.rsma.2023.102861" TargetMode="External"/><Relationship Id="rId15" Type="http://schemas.openxmlformats.org/officeDocument/2006/relationships/hyperlink" Target="papers/LME034-Dutta-2023/1-s2.0-S2352485523000506-main-10820fa3.pdf" TargetMode="External"/><Relationship Id="rId16" Type="http://schemas.openxmlformats.org/officeDocument/2006/relationships/hyperlink" Target="https://doi.org/10.15666/aeer/1603_31713196" TargetMode="External"/><Relationship Id="rId17" Type="http://schemas.openxmlformats.org/officeDocument/2006/relationships/hyperlink" Target="papers/LME034-Karim-2018/1603_31713196-9756a34b.pdf" TargetMode="External"/><Relationship Id="rId18" Type="http://schemas.openxmlformats.org/officeDocument/2006/relationships/hyperlink" Target="models/34_1_Bay_of_Bengal_(1978)/model.json" TargetMode="External"/><Relationship Id="rId19" Type="http://schemas.openxmlformats.org/officeDocument/2006/relationships/hyperlink" Target="models/34_1_Bay_of_Bengal_(1978)/" TargetMode="External"/><Relationship Id="rId20" Type="http://schemas.openxmlformats.org/officeDocument/2006/relationships/hyperlink" Target="models/34_1_Bay_of_Bengal_(1978)/sppr_source.xlsx" TargetMode="External"/><Relationship Id="rId21" Type="http://schemas.openxmlformats.org/officeDocument/2006/relationships/hyperlink" Target="validation_reports/34_1_Bay_of_Bengal_(1978)/source_diagnostics/source_findings.txt" TargetMode="External"/><Relationship Id="rId22" Type="http://schemas.openxmlformats.org/officeDocument/2006/relationships/hyperlink" Target="validation_reports/34_1_Bay_of_Bengal_(1978)/geography_sources/geographic_evidence.json" TargetMode="External"/><Relationship Id="rId23" Type="http://schemas.openxmlformats.org/officeDocument/2006/relationships/hyperlink" Target="LME034_taxon_mapping_appendix.xlsx" TargetMode="External"/><Relationship Id="rId24" Type="http://schemas.openxmlformats.org/officeDocument/2006/relationships/hyperlink" Target="validation_reports/34_1_Bay_of_Bengal_(1978)/mapping_review/audit_decisions.json" TargetMode="External"/><Relationship Id="rId25" Type="http://schemas.openxmlformats.org/officeDocument/2006/relationships/image" Target="media/image1.png"/><Relationship Id="rId2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