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 of Okhotsk regional model validation</w:t>
      </w:r>
      <w:r>
        <w:rPr>
          <w:sz w:val="20"/>
        </w:rPr>
        <w:br/>
        <w:t>Pending alignment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Sea of Okhotsk, LME_052. The selected model describes the whole sea.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Sea Around Us, 1950–2019 reconstructed catch. Reference: 2019 landings; all 151 exact reporting labels, including zero catch.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Chaikina (2004), A trophic mass-balance model of the Sea of Okhotsk for the 1980s period. BSc thesis, UBC, 49 pages. Original thesis unavailable. A related 2020 chapter documents the earlier model.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Thesis listing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Related chapter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Radchenko (2015), Characterization of the Sea of Okhotsk Ecosystem Based on Ecosystem Modelling. A 48-group contemporary model is retained as an alternative; full reconstruction is unreviewed.</w:t>
            </w:r>
            <w:r>
              <w:t xml:space="preserve"> </w:t>
            </w:r>
            <w:hyperlink r:id="rId13">
              <w:r>
                <w:rPr>
                  <w:color w:val="0563C1"/>
                  <w:u w:val="single"/>
                </w:rPr>
                <w:t>Alternative article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52_1_Sea_of_Okhotsk_NE_(1980). NE means newly constructed detailed Ecopath. It is a whole-sea 1980s annual-average model with 29 source groups and computational import 30. Reported area: 1,590,000 km².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Accepted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The same source also compares a simplified nine-group SD 1980s model derived from the Shuntov–Dulepova food web. NE and SD are model structures, not northeastern and southern subregions.</w:t>
            </w:r>
            <w:r>
              <w:t xml:space="preserve"> </w:t>
            </w:r>
            <w:hyperlink r:id="rId15">
              <w:r>
                <w:rPr>
                  <w:color w:val="0563C1"/>
                  <w:u w:val="single"/>
                </w:rPr>
                <w:t>Simplified model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Article — Retained as the broadest located whole-sea model despite incomplete original documentation.</w:t>
              <w:br/>
              <w:t>Model — The detailed NE structure supplies finer biological resolution; existing numerical caveats remain.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All supplied native Table 1 B/PB/QB/EE values agree with accepted inputs. The accepted diet contains 74 normalized cells from eight printed columns totaling 0.998–1.001. Native catch fields and pollock cutoff are absent; export zeros, detritus B=1 and existing defaults/balance remain accepted assumptions.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Source fidelity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No negative SPPR entries across the basal-source columns. rho_living=0.86716588; b=0.15204353; Detritus 29 SPPR=1.25101369.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Signed entries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Detritus 29 → Cottidae 14, Other Gadidae 12, Pinnipeds 4, Toothed whales 2; Phytoplankton 28 → Cottidae 14, Other Gadidae 12, Pinnipeds 4, Toothed whales 2; Phytobenthos 27 → Cottidae 14, Other Gadidae 12, Pinnipeds 4, Toothed whales 2. All 12 pairs are retained, including unfished mammals. TE FAIL remains. rho_living=1.02512005; b=0.00000000; Detritus 29 SPPR=0.94864761. b=0 is the TE convention.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Full source matrices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Signed entries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A. Region covered by study: approximately 100% under the intended whole-sea proxy.</w:t>
              <w:br/>
              <w:t>B. Study covered by region: approximately 100% under that proxy. Author boundaries are unavailable; exact overlap is unmeasured and boundary confidence is Low.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Static 1980s coefficients and fixed biomass proportions transfer across 1950–2019 whole-LME landings, catch and discards. Reference 2019 is roughly three decades later. Seasonal source averaging does not reconstruct annual catch composition or ecosystem change.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>GE and With Egestion return WARN; TE returns FAIL. All 120 source-recipient entries per method were inspected, including unfished groups and import. Inherited near-singular MC TE and negative/unsupported methods remain. Expanded mapping cannot approve these failed results.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Method exposure and signed contributions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Reference: 2019 landings; all source scope, all reporting labels, no group filter.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29 source groups (+1 computational import); 151 catch taxa.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Simple-chain PPR totals 248,368,608.38 t C in 2019.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20 labels lack a classic coefficient/TL; all have zero 2019 landings and zero annual contribution. Unknown coefficients and TL remain ?.</w:t>
      </w:r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Method: protected independent simple trophic-chain coefficients.</w:t>
      </w:r>
    </w:p>
    <w:p>
      <w:pPr>
        <w:keepNext w:val="0"/>
        <w:pageBreakBefore w:val="0"/>
        <w:spacing w:after="120"/>
      </w:pPr>
      <w:hyperlink r:id="rId20">
        <w:r>
          <w:rPr>
            <w:color w:val="0563C1"/>
            <w:u w:val="single"/>
          </w:rPr>
          <w:t>All 151 taxon mappings</w:t>
        </w:r>
      </w:hyperlink>
      <w:r>
        <w:t xml:space="preserve"> and </w:t>
      </w:r>
      <w:hyperlink r:id="rId21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33.0296%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64.0466%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55.8556%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31.4082%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0.0901%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0.3575%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46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11.0196%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4.1872%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0.0005%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Literal member or verified common-name crosswalk to a named taxonomic source pool.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92.5385%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Broad reporting union approximated across compatible source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2.7698%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Inferred eligible regional family, depth, habitat or feeding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1.8253%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Represented ecological or lineage analogue with substantial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1.4174%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ecological extension to a represented feeding or habitat guild.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0.9010%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Partial or conflicting habitat fit with a material source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0.3575%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Supported extension from a named, closely related regional representative.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0.1900%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 defensible source membership or complete analogue set established.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0.0005%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22">
        <w:r>
          <w:rPr>
            <w:color w:val="0563C1"/>
            <w:u w:val="single"/>
          </w:rPr>
          <w:t>native Table 1 and diet</w:t>
        </w:r>
      </w:hyperlink>
      <w:r>
        <w:t xml:space="preserve">, </w:t>
      </w:r>
      <w:hyperlink r:id="rId23">
        <w:r>
          <w:rPr>
            <w:color w:val="0563C1"/>
            <w:u w:val="single"/>
          </w:rPr>
          <w:t>primary taxonomy and regional context</w:t>
        </w:r>
      </w:hyperlink>
      <w:r>
        <w:t xml:space="preserve"> and </w:t>
      </w:r>
      <w:hyperlink r:id="rId24">
        <w:r>
          <w:rPr>
            <w:color w:val="0563C1"/>
            <w:u w:val="single"/>
          </w:rPr>
          <w:t>all candidate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One reviewed group receives all catch; no numerical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67.4159%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Complete source biomass after unavailable native catch; fixed composition and equal catchability assumed.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32.5836%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 numerical allocation without established membership.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Unresolved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0.0005%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Weights and assumptions: native group catches are unavailable. Canonical export=0 is not an observed stage fraction. Complete source biomass supplies every multi-group vector at Medium allocation confidence. Pollock supplies 48.9157% of 2019 landings and is allocated 53.874619% adult/nonjuvenile and 46.125381% juvenile, with equal catchability assumed and no recovered cutoff. Fixed 1980s proportions apply across all years and catch bases. Each rule table partitions the same simple-chain PPR. </w:t>
      </w:r>
      <w:hyperlink r:id="rId25">
        <w:r>
          <w:rPr>
            <w:color w:val="0563C1"/>
            <w:u w:val="single"/>
          </w:rPr>
          <w:t>Complete candidate vectors</w:t>
        </w:r>
      </w:hyperlink>
    </w:p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Unresolved: Cyprinidae, because unobserved freshwater family composition supplies no defensible local marine home. It retains 177.054315 t landings and 1,241.263560 t C classic PPR in the denominator. Very low: 46 labels, 11.0196% landings and 4.1872% classic PPR. These include broad bony/invertebrate unions and unrepresented cartilage, pelagic and grazing-fish analogues. Source Salmon is mostly zooplanktivorous, limiting tuna/shark transfer. Failed TE has signed caught contributions; ordinary positive confidence percentages are unavailable. </w:t>
      </w:r>
      <w:hyperlink r:id="rId20">
        <w:r>
          <w:rPr>
            <w:color w:val="0563C1"/>
            <w:u w:val="single"/>
          </w:rPr>
          <w:t>Flagged appendix rows</w:t>
        </w:r>
      </w:hyperlink>
      <w:r>
        <w:t xml:space="preserve"> | </w:t>
      </w:r>
      <w:hyperlink r:id="rId19">
        <w:r>
          <w:rPr>
            <w:color w:val="0563C1"/>
            <w:u w:val="single"/>
          </w:rPr>
          <w:t>Method contributors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rPr>
          <w:rFonts w:ascii="Calibri" w:hAnsi="Calibri"/>
          <w:sz w:val="21"/>
          <w:color w:val="000000"/>
        </w:rPr>
        <w:t>R is the Sea Around Us Sea of Okhotsk LME. S is described by the source as the whole sea. The displayed polygon reconstructs that intended domain using R; author GIS and a study-area map are unavailable. Approximate A/B values therefore describe the intended proxy, not measured overlap.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Target LME 052 and intended whole sea proxy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36498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and_intended_domai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3649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WGS84 target area: 1,563,743 km². Source reported area: 1,590,000 km². Their area ratio is 98.3486% (target/source); it is not an overlap calculation. No geographic multiplier is applied. </w:t>
      </w:r>
      <w:r>
        <w:t xml:space="preserve">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Qualified geographic assessment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Study area map unavailable   native methods excerpt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983480" cy="27058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tive_methods_excerp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480" cy="2705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 xml:space="preserve">Related 2020 chapter PDF25 / printed24. The methods describe the whole sea and report 1,590,000 km². Chapter figures are food-web and simulation/results diagrams, not study-area maps. The excerpt supplies native geographic evidence while preserving the missing-map limitation. </w:t>
      </w:r>
      <w:r>
        <w:t xml:space="preserve"> </w:t>
      </w:r>
      <w:hyperlink r:id="rId30">
        <w:r>
          <w:rPr>
            <w:color w:val="0563C1"/>
            <w:u w:val="single"/>
          </w:rPr>
          <w:t>Native chapter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Source identity review</w:t>
        </w:r>
      </w:hyperlink>
    </w:p>
    <w:p>
      <w:pPr>
        <w:spacing w:after="40" w:before="0" w:line="240" w:lineRule="auto"/>
      </w:pPr>
      <w:r>
        <w:rPr>
          <w:rFonts w:ascii="Calibri" w:hAnsi="Calibri"/>
          <w:sz w:val="20"/>
          <w:color w:val="000000"/>
        </w:rPr>
        <w:t>NE denotes the newly constructed detailed Ecopath model. The accepted identifier is retained; no northeastern boundary or original-thesis map is inferred.</w:t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52.xlsx" TargetMode="External"/><Relationship Id="rId10" Type="http://schemas.openxmlformats.org/officeDocument/2006/relationships/hyperlink" Target="raw/LME_052-catch.zip" TargetMode="External"/><Relationship Id="rId11" Type="http://schemas.openxmlformats.org/officeDocument/2006/relationships/hyperlink" Target="https://www.seaaroundus.org/theses/" TargetMode="External"/><Relationship Id="rId12" Type="http://schemas.openxmlformats.org/officeDocument/2006/relationships/hyperlink" Target="papers/OKH-2004/Palomares20_FishCentResaRep28-440d8aa8.pdf#page=24" TargetMode="External"/><Relationship Id="rId13" Type="http://schemas.openxmlformats.org/officeDocument/2006/relationships/hyperlink" Target="papers/OKH-2015/tv_2015_t_155_article_7-21b7d68d.pdf" TargetMode="External"/><Relationship Id="rId14" Type="http://schemas.openxmlformats.org/officeDocument/2006/relationships/hyperlink" Target="models/52_1_Sea_of_Okhotsk_NE_%281980%29/model.json" TargetMode="External"/><Relationship Id="rId15" Type="http://schemas.openxmlformats.org/officeDocument/2006/relationships/hyperlink" Target="models/52_2_Sea_of_Okhotsk_SD_%281980%29/model.json" TargetMode="External"/><Relationship Id="rId16" Type="http://schemas.openxmlformats.org/officeDocument/2006/relationships/hyperlink" Target="validation_reports/52_1_Sea_of_Okhotsk_NE_%281980%29/source_review.md" TargetMode="External"/><Relationship Id="rId17" Type="http://schemas.openxmlformats.org/officeDocument/2006/relationships/hyperlink" Target="validation_reports/52_1_Sea_of_Okhotsk_NE_%281980%29/matrix_inspection.json" TargetMode="External"/><Relationship Id="rId18" Type="http://schemas.openxmlformats.org/officeDocument/2006/relationships/hyperlink" Target="validation_reports/52_1_Sea_of_Okhotsk_NE_%281980%29/negative_source_entries.json" TargetMode="External"/><Relationship Id="rId19" Type="http://schemas.openxmlformats.org/officeDocument/2006/relationships/hyperlink" Target="validation_reports/52_1_Sea_of_Okhotsk_NE_%281980%29/method_specific_mapping_exposure.json" TargetMode="External"/><Relationship Id="rId20" Type="http://schemas.openxmlformats.org/officeDocument/2006/relationships/hyperlink" Target="LME052_taxon_mapping_appendix.xlsx" TargetMode="External"/><Relationship Id="rId21" Type="http://schemas.openxmlformats.org/officeDocument/2006/relationships/hyperlink" Target="LME052_taxon_mapping_appendix.xlsx#Sources%21A1" TargetMode="External"/><Relationship Id="rId22" Type="http://schemas.openxmlformats.org/officeDocument/2006/relationships/hyperlink" Target="papers/OKH-2004/Palomares20_FishCentResaRep28-440d8aa8.pdf#page=27" TargetMode="External"/><Relationship Id="rId23" Type="http://schemas.openxmlformats.org/officeDocument/2006/relationships/hyperlink" Target="validation_reports/52_1_Sea_of_Okhotsk_NE_%281980%29/appendix_sources.json" TargetMode="External"/><Relationship Id="rId24" Type="http://schemas.openxmlformats.org/officeDocument/2006/relationships/hyperlink" Target="validation_reports/52_1_Sea_of_Okhotsk_NE_%281980%29/taxon_audit.json" TargetMode="External"/><Relationship Id="rId25" Type="http://schemas.openxmlformats.org/officeDocument/2006/relationships/hyperlink" Target="validation_reports/52_1_Sea_of_Okhotsk_NE_%281980%29/candidate_and_allocation_evidence.json" TargetMode="External"/><Relationship Id="rId26" Type="http://schemas.openxmlformats.org/officeDocument/2006/relationships/image" Target="media/image1.png"/><Relationship Id="rId27" Type="http://schemas.openxmlformats.org/officeDocument/2006/relationships/image" Target="media/image2.png"/><Relationship Id="rId28" Type="http://schemas.openxmlformats.org/officeDocument/2006/relationships/hyperlink" Target="validation_reports/52_1_Sea_of_Okhotsk_NE_%281980%29/geography/target_LME052.geojson" TargetMode="External"/><Relationship Id="rId29" Type="http://schemas.openxmlformats.org/officeDocument/2006/relationships/hyperlink" Target="validation_reports/52_1_Sea_of_Okhotsk_NE_%281980%29/geography/geography_assessment.json" TargetMode="External"/><Relationship Id="rId30" Type="http://schemas.openxmlformats.org/officeDocument/2006/relationships/hyperlink" Target="papers/OKH-2004/Palomares20_FishCentResaRep28-440d8aa8.pdf#page=25" TargetMode="External"/><Relationship Id="rId31" Type="http://schemas.openxmlformats.org/officeDocument/2006/relationships/hyperlink" Target="validation_reports/52_1_Sea_of_Okhotsk_NE_%281980%29/independent_source_review/source_identity_review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