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Regional model validation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Kiribati (Gilbert Islands), EEZ_941.</w:t>
            </w:r>
            <w:r>
              <w:t xml:space="preserve"> </w:t>
            </w:r>
            <w:hyperlink r:id="rId9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Sea Around Us regional catch, 1950–2019; landings reference year 2019. Exact Gilbert Islands reporting unit, including unidentified categories; historical download retained.</w:t>
            </w:r>
            <w:r>
              <w:t xml:space="preserve"> </w:t>
            </w:r>
            <w:hyperlink r:id="rId10">
              <w:r>
                <w:rPr>
                  <w:color w:val="0563C1"/>
                  <w:u w:val="single"/>
                </w:rPr>
                <w:t>Catch inputs</w:t>
              </w:r>
            </w:hyperlink>
            <w:r>
              <w:t xml:space="preserve"> | </w:t>
            </w:r>
            <w:hyperlink r:id="rId9">
              <w:r>
                <w:rPr>
                  <w:color w:val="0563C1"/>
                  <w:u w:val="single"/>
                </w:rPr>
                <w:t>Workbook catch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Allain, V.; Nicol, S.; Essington, T.; Okey, T.; Olson, B.; Kirby, D. (2007). An Ecopath with Ecosim model of the Western and Central Pacific Ocean warm pool pelagic ecosystem. WCPFC-SC3-EB SWG/IP-8. DOI: not recorded.</w:t>
            </w:r>
            <w:r>
              <w:t xml:space="preserve"> </w:t>
            </w:r>
            <w:hyperlink r:id="rId11">
              <w:r>
                <w:rPr>
                  <w:color w:val="0563C1"/>
                  <w:u w:val="single"/>
                </w:rPr>
                <w:t>Source PDF</w:t>
              </w:r>
            </w:hyperlink>
            <w:r>
              <w:t xml:space="preserve"> | </w:t>
            </w:r>
            <w:hyperlink r:id="rId12">
              <w:r>
                <w:rPr>
                  <w:color w:val="0563C1"/>
                  <w:u w:val="single"/>
                </w:rPr>
                <w:t>WCPFC article</w:t>
              </w:r>
            </w:hyperlink>
            <w:r>
              <w:t xml:space="preserve"> | </w:t>
            </w:r>
            <w:hyperlink r:id="rId13">
              <w:r>
                <w:rPr>
                  <w:color w:val="0563C1"/>
                  <w:u w:val="single"/>
                </w:rPr>
                <w:t>Paper folder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Griffiths, S.P.; Allain, V.; Hoyle, S.D.; Lawson, T.A.; Nicol, S.J. (2019). Just a FAD? Ecosystem impacts of tuna purse-seine fishing associated with fish aggregating devices in the western Pacific Warm Pool Province. 2005 source and pooled experiment retained for investigation; not selected.</w:t>
            </w:r>
            <w:r>
              <w:t xml:space="preserve"> </w:t>
            </w:r>
            <w:hyperlink r:id="rId14">
              <w:r>
                <w:rPr>
                  <w:color w:val="0563C1"/>
                  <w:u w:val="single"/>
                </w:rPr>
                <w:t>DOI 10.1111/fog.12389</w:t>
              </w:r>
            </w:hyperlink>
            <w:r>
              <w:t xml:space="preserve"> | </w:t>
            </w:r>
            <w:hyperlink r:id="rId15">
              <w:r>
                <w:rPr>
                  <w:color w:val="0563C1"/>
                  <w:u w:val="single"/>
                </w:rPr>
                <w:t>Retained article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941_20070101_WCPO_Warm_Pool_Option1_(mixed_periods); mixed source periods. Final 31 ecological groups plus one computational import. Pelagic study domain 110–180°E, 15°S–15°N.</w:t>
            </w:r>
            <w:r>
              <w:t xml:space="preserve"> </w:t>
            </w:r>
            <w:hyperlink r:id="rId16">
              <w:r>
                <w:rPr>
                  <w:color w:val="0563C1"/>
                  <w:u w:val="single"/>
                </w:rPr>
                <w:t>Selected JSON</w:t>
              </w:r>
            </w:hyperlink>
            <w:r>
              <w:t xml:space="preserve"> | </w:t>
            </w:r>
            <w:hyperlink r:id="rId17">
              <w:r>
                <w:rPr>
                  <w:color w:val="0563C1"/>
                  <w:u w:val="single"/>
                </w:rPr>
                <w:t>Model folder</w:t>
              </w:r>
            </w:hyperlink>
            <w:r>
              <w:t xml:space="preserve"> | </w:t>
            </w:r>
            <w:hyperlink r:id="rId18">
              <w:r>
                <w:rPr>
                  <w:color w:val="0563C1"/>
                  <w:u w:val="single"/>
                </w:rPr>
                <w:t>Loaded state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Initial 24-group WCPO warm-pool model and final 31-group source model, both mixed periods and the same broad domain; final adds stages and forage detail. The adopted D_fixed_M0 option1 is an extraction/parameter variant of the final model. Three Ecosim perturbations are scenarios, not distinct Ecopath inputs.</w:t>
            </w:r>
            <w:r>
              <w:t xml:space="preserve"> </w:t>
            </w:r>
            <w:hyperlink r:id="rId19">
              <w:r>
                <w:rPr>
                  <w:color w:val="0563C1"/>
                  <w:u w:val="single"/>
                </w:rPr>
                <w:t>Initial model</w:t>
              </w:r>
            </w:hyperlink>
            <w:r>
              <w:t xml:space="preserve"> | </w:t>
            </w:r>
            <w:hyperlink r:id="rId20">
              <w:r>
                <w:rPr>
                  <w:color w:val="0563C1"/>
                  <w:u w:val="single"/>
                </w:rPr>
                <w:t>Final source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Article: ? — comparative article-selection reason is unrecorded. Model: the recorded selection adopts D_fixed_M0 to preserve juvenile other-mortality flows and improve juvenile production consistency. It remains a surrogate; Griffiths 2019 is deferred for investigation.</w:t>
            </w:r>
            <w:r>
              <w:t xml:space="preserve"> </w:t>
            </w:r>
            <w:hyperlink r:id="rId21">
              <w:r>
                <w:rPr>
                  <w:color w:val="0563C1"/>
                  <w:u w:val="single"/>
                </w:rPr>
                <w:t>Recorded rationale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Initial/final table scope is distinguished. Accepted Small BET/YFT P/B and EE differ from the paper. Source YFT/piscivorous diet sums 0.998/1.002 are normalized by the retained loader. GS exceptions are retained; missing BA is derived for 24 groups. Unknown baby/forage catch becomes runtime zero; detritus EE is forced to 1 and synthetic import is added. Native stanza dynamics are not reproduced.</w:t>
            </w:r>
            <w:r>
              <w:t xml:space="preserve"> </w:t>
            </w:r>
            <w:hyperlink r:id="rId22">
              <w:r>
                <w:rPr>
                  <w:color w:val="0563C1"/>
                  <w:u w:val="single"/>
                </w:rPr>
                <w:t>Source and runtime review</w:t>
              </w:r>
            </w:hyperlink>
            <w:r>
              <w:t xml:space="preserve"> | </w:t>
            </w:r>
            <w:hyperlink r:id="rId23">
              <w:r>
                <w:rPr>
                  <w:color w:val="0563C1"/>
                  <w:u w:val="single"/>
                </w:rPr>
                <w:t>Transformation ledger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</w:tbl>
    <w:p>
      <w:pPr>
        <w:spacing w:after="40" w:before="0" w:line="240" w:lineRule="auto"/>
        <w:pageBreakBefore/>
      </w:pPr>
      <w:r>
        <w:rPr>
          <w:rFonts w:ascii="Calibri" w:hAnsi="Calibri"/>
          <w:sz w:val="2"/>
          <w:color w:val="000000"/>
        </w:rP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across the basal-source columns. rho_living = 0.54676655; b = 0.63691435; Detritus (31) SPPR = 2.58026100.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across the basal-source columns. rho_living = 0.82430628; Detritus (31) SPPR = 0.25250886.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Approximate A: 99.7% of the Gilbert Islands EEZ lies in the reported study rectangle. B: about 3.9–4.6% of the study area lies in this EEZ; the range reflects the published-area versus land-excluded coordinate-domain denominator. Broad pelagic overlap does not resolve coastal/reef-fish representativeness.</w:t>
            </w:r>
            <w:r>
              <w:t xml:space="preserve"> </w:t>
            </w:r>
            <w:hyperlink r:id="rId24">
              <w:r>
                <w:rPr>
                  <w:color w:val="0563C1"/>
                  <w:u w:val="single"/>
                </w:rPr>
                <w:t>Boundary estimate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Mixed source inputs: skipjack/forage 1993–2002, yellowfin/bigeye/bycatch 1995–2004 and diet 2001–2007; 2005–2006 assessment editions are not model years. Fixed ecosystem coefficients and composition proxies are transferred across 1950–2019; the 2019 estimate is not an annual ecosystem reconstruction.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The accepted variant retains overall WARN and strict mass balance false (adult BET production residual ≈0.728%); PP-budget status is OK. Original source/native-model validity and author confirmation remain unestablished. Geographic coverage and nonnegative coefficients do not resolve these limitations.</w:t>
            </w:r>
            <w:r>
              <w:t xml:space="preserve"> </w:t>
            </w:r>
            <w:hyperlink r:id="rId25">
              <w:r>
                <w:rPr>
                  <w:color w:val="0563C1"/>
                  <w:u w:val="single"/>
                </w:rPr>
                <w:t>Exact diagnostic evidence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[Researcher: open issues and next actions]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Researcher name: [name] | review date: [date]</w:t>
              <w:br/>
              <w:t/>
              <w:br/>
              <w:t/>
              <w:br/>
              <w:t/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t>Reference: 2019 landings; all catch labels and source-group scope, including zero catch and unidentified categories.</w:t>
      </w:r>
    </w:p>
    <w:p>
      <w:pPr>
        <w:keepNext w:val="0"/>
        <w:pageBreakBefore w:val="0"/>
        <w:spacing w:after="120"/>
      </w:pPr>
      <w:r>
        <w:t>31 source ecological groups (+1 computational import); 63 catch labels.</w:t>
      </w:r>
    </w:p>
    <w:p>
      <w:pPr>
        <w:keepNext w:val="0"/>
        <w:pageBreakBefore w:val="0"/>
        <w:spacing w:after="120"/>
      </w:pPr>
      <w:r>
        <w:t>Simple-chain PPR totals 167,307,899.00 t C in 2019.</w:t>
      </w:r>
    </w:p>
    <w:p>
      <w:pPr>
        <w:keepNext w:val="0"/>
        <w:pageBreakBefore w:val="0"/>
        <w:spacing w:after="120"/>
      </w:pPr>
      <w:r>
        <w:t>25 labels lack a saved TL/coefficient. All have zero 2019 landings and therefore zero annual contribution; their missing inputs remain unknown.</w:t>
      </w:r>
    </w:p>
    <w:p>
      <w:pPr>
        <w:keepNext w:val="0"/>
        <w:pageBreakBefore w:val="0"/>
        <w:spacing w:after="120"/>
      </w:pPr>
      <w:r>
        <w:t>Method: independent simple trophic chain using saved classic taxon coefficients.</w:t>
      </w:r>
    </w:p>
    <w:p>
      <w:pPr>
        <w:keepNext w:val="0"/>
        <w:pageBreakBefore w:val="0"/>
        <w:spacing w:after="120"/>
      </w:pPr>
      <w:hyperlink r:id="rId26">
        <w:r>
          <w:rPr>
            <w:color w:val="0563C1"/>
            <w:u w:val="single"/>
          </w:rPr>
          <w:t>Taxon mapping appendix</w:t>
        </w:r>
      </w:hyperlink>
      <w:r>
        <w:t xml:space="preserve"> and </w:t>
      </w:r>
      <w:hyperlink r:id="rId27">
        <w:r>
          <w:rPr>
            <w:color w:val="0563C1"/>
            <w:u w:val="single"/>
          </w:rPr>
          <w:t>descriptive Sources sheet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Taxa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Catch percentage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26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98.5322%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99.5490%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6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0.1778%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0.0341%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27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1.2901%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0.4170%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The summary uses the weaker required membership or allocation confidence. The following tables show each component separately.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Explicit final source membership in the group or stage union.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99.3960%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Weak usable taxonomic/functional analogue; habitat/stage mismatch.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0.3865%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Documented family identity fits the complete source group set.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0.0815%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Verified historical/current synonym fits the named source stages.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0.0388%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Source lineage partly fits the habitat or stage definition.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0.0341%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Broad catch label uses an assumed represented-pool composition.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0.0304%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Supported candidate set requires an explicit membership inference.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0.0293%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Supported ecological extension for an unlisted pelagic piscivore.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0.0033%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Related small-pelagic taxa extend final listed representatives.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No meaningful taxonomic/feeding guild or usable analogue.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Unresolved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t xml:space="preserve">Membership evidence: </w:t>
      </w:r>
      <w:hyperlink r:id="rId28">
        <w:r>
          <w:rPr>
            <w:color w:val="0563C1"/>
            <w:u w:val="single"/>
          </w:rPr>
          <w:t>final source definitions and taxonomic/ecological review</w:t>
        </w:r>
      </w:hyperlink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Historical source landings proportions supply an assumed regional composition; genuine zeros and the accepted infant exception are explicit.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99.8200%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Incomplete raw source catch rejects the catch proxy; complete biomass proportions assume regional composition/catchability.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0.1767%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One eligible group receives the entire taxon; this adds no allocation uncertainty.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0.0033%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No eligible compartment supplies a numerical allocation.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Unresolved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t xml:space="preserve">Each percentage is the simple-chain PPR associated with taxa using that rule. Weights and assumptions: </w:t>
      </w:r>
      <w:hyperlink r:id="rId29">
        <w:r>
          <w:rPr>
            <w:color w:val="0563C1"/>
            <w:u w:val="single"/>
          </w:rPr>
          <w:t>candidate/catch/biomass evidence</w:t>
        </w:r>
      </w:hyperlink>
    </w:p>
    <w:p>
      <w:pPr>
        <w:keepNext w:val="0"/>
        <w:pageBreakBefore w:val="0"/>
        <w:spacing w:after="120"/>
      </w:pPr>
      <w:r>
        <w:t>Unresolved: Bivalvia and Echinodermata — no meaningful represented feeding/taxonomic guild; both have zero 2019 catch. Very low: broad marine fish/shark/crustacean/mollusc categories and closest coastal, octopod or unlisted-tuna analogues; all 27 exact labels are flagged in the appendix. They account for 1.2901% of landings and 0.4170% of simple-chain PPR.</w:t>
      </w:r>
      <w:r>
        <w:t xml:space="preserve"> The two residual marine-fish labels now use all 17 source-defined bony-fish pools, including named tuna and billfish stages. Dedicated sharks are excluded; mixed bathyal pools remain an uncertain whole-biomass proxy. Missing source exports require complete biomass allocation (W9, Medium); residual composition and transfer remain Very low. Independent simple-chain confidence shares above are unchanged; model-method contributions are recalculated. </w:t>
      </w:r>
      <w:hyperlink r:id="rId38">
        <w:r>
          <w:rPr>
            <w:color w:val="0563C1"/>
            <w:u w:val="single"/>
          </w:rPr>
          <w:t>Reporting scope evidence</w:t>
        </w:r>
      </w:hyperlink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t>Target region R and selected model study area S. Approximate WGS84 boundary comparison with consistent land exclusion; the reported model area gives an alternate B denominator.</w:t>
      </w:r>
    </w:p>
    <w:p>
      <w:pPr>
        <w:pStyle w:val="Heading2"/>
        <w:keepNext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Kiribati (Gilbert Islands) EEZ_941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3235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on_boundary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Gilbert Islands EEZ boundary: repaired repository Sea Around Us polygon; Natural Earth 1:50m land. </w:t>
      </w:r>
      <w:r>
        <w:t xml:space="preserve"> </w:t>
      </w:r>
      <w:hyperlink r:id="rId32">
        <w:r>
          <w:rPr>
            <w:color w:val="0563C1"/>
            <w:u w:val="single"/>
          </w:rPr>
          <w:t>Boundary source</w:t>
        </w:r>
      </w:hyperlink>
      <w:r>
        <w:t xml:space="preserve"> | </w:t>
      </w:r>
      <w:hyperlink r:id="rId33">
        <w:r>
          <w:rPr>
            <w:color w:val="0563C1"/>
            <w:u w:val="single"/>
          </w:rPr>
          <w:t>Image</w:t>
        </w:r>
      </w:hyperlink>
    </w:p>
    <w:p>
      <w:pPr>
        <w:pStyle w:val="Heading2"/>
        <w:keepNext/>
        <w:pageBreakBefore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Study rectangle from Allain et al. (2007), Section 2.2 PDF7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3235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udy_domain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Reported bounds: 110–180°E, 15°S–15°N; reconstructed study boundary. Figure 1 PDF3 shows the broader warm-pool/cold-tongue context. </w:t>
      </w:r>
      <w:r>
        <w:t xml:space="preserve"> </w:t>
      </w:r>
      <w:hyperlink r:id="rId34">
        <w:r>
          <w:rPr>
            <w:color w:val="0563C1"/>
            <w:u w:val="single"/>
          </w:rPr>
          <w:t>Source PDF7</w:t>
        </w:r>
      </w:hyperlink>
      <w:r>
        <w:t xml:space="preserve"> | </w:t>
      </w:r>
      <w:hyperlink r:id="rId35">
        <w:r>
          <w:rPr>
            <w:color w:val="0563C1"/>
            <w:u w:val="single"/>
          </w:rPr>
          <w:t>Source Figure 1</w:t>
        </w:r>
      </w:hyperlink>
      <w:r>
        <w:t xml:space="preserve"> | </w:t>
      </w:r>
      <w:hyperlink r:id="rId36">
        <w:r>
          <w:rPr>
            <w:color w:val="0563C1"/>
            <w:u w:val="single"/>
          </w:rPr>
          <w:t>Image</w:t>
        </w:r>
      </w:hyperlink>
    </w:p>
    <w:p>
      <w:pPr>
        <w:spacing w:after="40" w:before="0" w:line="240" w:lineRule="auto"/>
      </w:pPr>
      <w:r>
        <w:drawing>
          <wp:inline xmlns:a="http://schemas.openxmlformats.org/drawingml/2006/main" xmlns:pic="http://schemas.openxmlformats.org/drawingml/2006/picture">
            <wp:extent cx="5943600" cy="2701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_figure1_cro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6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alidation1" Type="http://schemas.openxmlformats.org/officeDocument/2006/relationships/hyperlink" Target="[Excel_appendix.xlsx]" TargetMode="External"/><Relationship Id="rId9" Type="http://schemas.openxmlformats.org/officeDocument/2006/relationships/hyperlink" Target="EEZ_941.xlsx" TargetMode="External"/><Relationship Id="rId10" Type="http://schemas.openxmlformats.org/officeDocument/2006/relationships/hyperlink" Target="raw" TargetMode="External"/><Relationship Id="rId11" Type="http://schemas.openxmlformats.org/officeDocument/2006/relationships/hyperlink" Target="papers/WCP-2007/download-0adcf55e.pdf" TargetMode="External"/><Relationship Id="rId12" Type="http://schemas.openxmlformats.org/officeDocument/2006/relationships/hyperlink" Target="https://meetings.wcpfc.int/node/6157" TargetMode="External"/><Relationship Id="rId13" Type="http://schemas.openxmlformats.org/officeDocument/2006/relationships/hyperlink" Target="papers/WCP-2007" TargetMode="External"/><Relationship Id="rId14" Type="http://schemas.openxmlformats.org/officeDocument/2006/relationships/hyperlink" Target="https://doi.org/10.1111/fog.12389" TargetMode="External"/><Relationship Id="rId15" Type="http://schemas.openxmlformats.org/officeDocument/2006/relationships/hyperlink" Target="papers/Griffiths-2019" TargetMode="External"/><Relationship Id="rId16" Type="http://schemas.openxmlformats.org/officeDocument/2006/relationships/hyperlink" Target="models/941_20070101_WCPO_Warm_Pool_Option1_%28mixed_periods%29/941_20070101_WCPO_Warm_Pool_Option1_%28mixed_periods%29.json" TargetMode="External"/><Relationship Id="rId17" Type="http://schemas.openxmlformats.org/officeDocument/2006/relationships/hyperlink" Target="models/941_20070101_WCPO_Warm_Pool_Option1_%28mixed_periods%29" TargetMode="External"/><Relationship Id="rId18" Type="http://schemas.openxmlformats.org/officeDocument/2006/relationships/hyperlink" Target="evidence/2026-09-28_integration/loaded_state.json" TargetMode="External"/><Relationship Id="rId19" Type="http://schemas.openxmlformats.org/officeDocument/2006/relationships/hyperlink" Target="models/941_200702_WCPO_Warm_Pool_Initial_%28mixed_periods%29" TargetMode="External"/><Relationship Id="rId20" Type="http://schemas.openxmlformats.org/officeDocument/2006/relationships/hyperlink" Target="models/941_200701_WCPO_Warm_Pool_Final_%28mixed_periods%29" TargetMode="External"/><Relationship Id="rId21" Type="http://schemas.openxmlformats.org/officeDocument/2006/relationships/hyperlink" Target="models/941_20070101_WCPO_Warm_Pool_Option1_%28mixed_periods%29/SELECTION_REPORT.md" TargetMode="External"/><Relationship Id="rId22" Type="http://schemas.openxmlformats.org/officeDocument/2006/relationships/hyperlink" Target="validation_reports/941_20070101_WCPO_Warm_Pool_Option1_%28mixed_periods%29/source_review.md#source-layers-and-scientific-limitations" TargetMode="External"/><Relationship Id="rId23" Type="http://schemas.openxmlformats.org/officeDocument/2006/relationships/hyperlink" Target="evidence/2026-09-28_integration/transformation_ledger.json" TargetMode="External"/><Relationship Id="rId24" Type="http://schemas.openxmlformats.org/officeDocument/2006/relationships/hyperlink" Target="validation_reports/941_20070101_WCPO_Warm_Pool_Option1_%28mixed_periods%29/geographic_estimate.json" TargetMode="External"/><Relationship Id="rId25" Type="http://schemas.openxmlformats.org/officeDocument/2006/relationships/hyperlink" Target="validation_reports/941_20070101_WCPO_Warm_Pool_Option1_%28mixed_periods%29/diagnostics_verification.json" TargetMode="External"/><Relationship Id="rId26" Type="http://schemas.openxmlformats.org/officeDocument/2006/relationships/hyperlink" Target="EEZ941_taxon_mapping_appendix.xlsx" TargetMode="External"/><Relationship Id="rId27" Type="http://schemas.openxmlformats.org/officeDocument/2006/relationships/hyperlink" Target="EEZ941_taxon_mapping_appendix.xlsx#Sources%21A1" TargetMode="External"/><Relationship Id="rId28" Type="http://schemas.openxmlformats.org/officeDocument/2006/relationships/hyperlink" Target="validation_reports/941_20070101_WCPO_Warm_Pool_Option1_%28mixed_periods%29/source_review.md#membership-and-reporting-scope" TargetMode="External"/><Relationship Id="rId29" Type="http://schemas.openxmlformats.org/officeDocument/2006/relationships/hyperlink" Target="validation_reports/941_20070101_WCPO_Warm_Pool_Option1_%28mixed_periods%29/source_review.md#stage-allocation" TargetMode="External"/><Relationship Id="rId30" Type="http://schemas.openxmlformats.org/officeDocument/2006/relationships/image" Target="media/image1.png"/><Relationship Id="rId31" Type="http://schemas.openxmlformats.org/officeDocument/2006/relationships/image" Target="media/image2.png"/><Relationship Id="rId32" Type="http://schemas.openxmlformats.org/officeDocument/2006/relationships/hyperlink" Target="../../common_reference_data/geography/EEZs.geojson" TargetMode="External"/><Relationship Id="rId33" Type="http://schemas.openxmlformats.org/officeDocument/2006/relationships/hyperlink" Target="validation_reports/941_20070101_WCPO_Warm_Pool_Option1_%28mixed_periods%29/region_boundary.png" TargetMode="External"/><Relationship Id="rId34" Type="http://schemas.openxmlformats.org/officeDocument/2006/relationships/hyperlink" Target="papers/WCP-2007/download-0adcf55e.pdf#page=7" TargetMode="External"/><Relationship Id="rId35" Type="http://schemas.openxmlformats.org/officeDocument/2006/relationships/hyperlink" Target="validation_reports/941_20070101_WCPO_Warm_Pool_Option1_%28mixed_periods%29/article_figure1_crop.png" TargetMode="External"/><Relationship Id="rId36" Type="http://schemas.openxmlformats.org/officeDocument/2006/relationships/hyperlink" Target="validation_reports/941_20070101_WCPO_Warm_Pool_Option1_%28mixed_periods%29/study_domain.png" TargetMode="External"/><Relationship Id="rId37" Type="http://schemas.openxmlformats.org/officeDocument/2006/relationships/image" Target="media/image3.png"/><Relationship Id="rId38" Type="http://schemas.openxmlformats.org/officeDocument/2006/relationships/hyperlink" Target="validation_reports/941_20070101_WCPO_Warm_Pool_Option1_(mixed_periods)/residual_fish_scope_followup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