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Pacific, Western Central high seas, HS_071.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2019 landings reference. Western Central Pacific high-seas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57.6% of HS_071 is covered by the study area. B: about 11.1–13.0% of the study area is covered by HS_071.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23 catch labels.</w:t>
      </w:r>
    </w:p>
    <w:p>
      <w:pPr>
        <w:keepNext w:val="0"/>
        <w:pageBreakBefore w:val="0"/>
        <w:spacing w:after="120"/>
      </w:pPr>
      <w:r>
        <w:t>Simple-chain PPR totals 157,858,508.52 t C in 2019.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97.6315%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98.7320%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2.3685%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1.2680%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98.4876%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1.2138%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0.1283%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0.1161%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99.9458%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none. Very low: Thunnus alalunga, Thunnus orientalis and Thunnus maccoyii use a weak bigeye-stage analogue; Scombridae, Elasmobranchii, Marine fishes not identified and Marine pelagic fishes not identified use assumed broad-pool composition. These seven labels represent 2.3685% of landings and 1.2680% of simple-chain PPR. Exact candidates and limitations are in the appendix.</w:t>
      </w:r>
      <w:r>
        <w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w:t>
      </w:r>
      <w:hyperlink r:id="rId37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Pacific, Western Central high seas HS_071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HS_071 boundary: repaired repository Sea Around Us high-seas region 71 polygon; Natural Earth 1:50m land. </w:t>
      </w:r>
      <w:r>
        <w:t xml:space="preserve"> </w:t>
      </w:r>
      <w:hyperlink r:id="rId31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3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4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HS_071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validation_reports/941_20070101_WCPO_Warm_Pool_Option1_%28mixed_periods%29/reused_diagnostics/loaded_state.json" TargetMode="External"/><Relationship Id="rId19" Type="http://schemas.openxmlformats.org/officeDocument/2006/relationships/hyperlink" Target="../EEZ_941/models/941_200702_WCPO_Warm_Pool_Initial_%28mixed_periods%29" TargetMode="External"/><Relationship Id="rId20" Type="http://schemas.openxmlformats.org/officeDocument/2006/relationships/hyperlink" Target="../EEZ_941/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validation_reports/941_20070101_WCPO_Warm_Pool_Option1_%28mixed_periods%29/reused_diagnostics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HS071_taxon_mapping_appendix.xlsx" TargetMode="External"/><Relationship Id="rId27" Type="http://schemas.openxmlformats.org/officeDocument/2006/relationships/hyperlink" Target="HS071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hyperlink" Target="../../common_reference_data/geography/HighSeas.geojson" TargetMode="External"/><Relationship Id="rId32" Type="http://schemas.openxmlformats.org/officeDocument/2006/relationships/hyperlink" Target="validation_reports/941_20070101_WCPO_Warm_Pool_Option1_%28mixed_periods%29/region_boundary.png" TargetMode="External"/><Relationship Id="rId33" Type="http://schemas.openxmlformats.org/officeDocument/2006/relationships/hyperlink" Target="papers/WCP-2007/download-0adcf55e.pdf#page=7" TargetMode="External"/><Relationship Id="rId34" Type="http://schemas.openxmlformats.org/officeDocument/2006/relationships/hyperlink" Target="validation_reports/941_20070101_WCPO_Warm_Pool_Option1_%28mixed_periods%29/article_figure1_crop.png" TargetMode="External"/><Relationship Id="rId35" Type="http://schemas.openxmlformats.org/officeDocument/2006/relationships/hyperlink" Target="validation_reports/941_20070101_WCPO_Warm_Pool_Option1_%28mixed_periods%29/study_domain.png" TargetMode="External"/><Relationship Id="rId36" Type="http://schemas.openxmlformats.org/officeDocument/2006/relationships/image" Target="media/image2.png"/><Relationship Id="rId37" Type="http://schemas.openxmlformats.org/officeDocument/2006/relationships/hyperlink" Target="validation_reports/941_20070101_WCPO_Warm_Pool_Option1_(mixed_periods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