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Pacific, Eastern Central high seas, HS_077.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regional catch, 1950–2019; reference: 2019 landings. Eastern Central Pacific high-seas reporting unit; historical local download retained.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Regional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Olson, R.J.; Watters, G.M. (2003). A model of the pelagic ecosystem in the eastern tropical Pacific Ocean. IATTC Bulletin 22(3), pp. 135–218. DOI: not recorded.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Official IATTC bulletin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additional article is recorded for HS_077 in the reviewed local inventory; this is not an exhaustive literature search.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077HS_1_Eastern_tropical_Pacific_(1993-1997); final ETP7, 1993–1997. 39 source ecological groups plus one computational import. Pelagic domain: 20°N–20°S, 150°W to the approximate American shelf break.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Accepted loaded state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ETP1: initial 34-group, explicitly unbalanced model for the same broad period/domain. ETP2–ETP6: intermediate revisions; separate complete static tables unavailable. ETP5 sensitivities and Ecosim runs are scenarios. ETP7 is the final published parameterization.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Source model inventory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recorded as the selected pilot article; comparative criterion beyond that designation: ?. Model: ? — the recorded diet-consistency concern does not explain choosing among model versions.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Nine material published diet-sum errors are retained in canonical inputs. The accepted historical runtime normalizes ten diets at 0.001 tolerance, including Albacore 1.001; infers missing BA; supplies missing-catch zeros and detritus/import defaults. Source BA and detritus routing remain undocumented. Censored whale EE and fleet catches are distinct from exact zero. No source values were restored or rebalanced.</w:t>
            </w:r>
            <w:r>
              <w:t xml:space="preserve"> </w:t>
            </w:r>
            <w:hyperlink r:id="rId18">
              <w:r>
                <w:rPr>
                  <w:color w:val="0563C1"/>
                  <w:u w:val="single"/>
                </w:rPr>
                <w:t>Reconstruction report</w:t>
              </w:r>
            </w:hyperlink>
            <w:r>
              <w:t xml:space="preserve"> | </w:t>
            </w:r>
            <w:hyperlink r:id="rId19">
              <w:r>
                <w:rPr>
                  <w:color w:val="0563C1"/>
                  <w:u w:val="single"/>
                </w:rPr>
                <w:t>Source and runtime review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rho_living=0.53880579; b=0.00000000; Detritus(39) SPPR=1.68916596.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Negative sources: diet_import(40) → Toothed whales(4); Small producers(38) → Toothed whales(4); Large phytoplankton(37) → Toothed whales(4). rho_living=0.62720534; Detritus(39) SPPR=0.03354576.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47% of HS_077 is covered by the study. B: 46–48% of the study is covered by HS_077.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Boundary estimate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1993–1997 model averages; catch series 1950–2019. The 2019 reference is 22–26 years later. Fixed ecosystem coefficients and assumed composition weights do not reconstruct annual ecosystem changes.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TE fails PP-budget closure (relative gap 1.75287544) and has near-zero efficiencies in five mammal/bird groups. GE and With Egestion direct OK apply to the accepted transformed runtime; source/ecological admission remains unestablished.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Exact matrix/diagnostic review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labels, including zero catch and unidentified categories; no group filter.</w:t>
      </w:r>
    </w:p>
    <w:p>
      <w:pPr>
        <w:keepNext w:val="0"/>
        <w:pageBreakBefore w:val="0"/>
        <w:spacing w:after="120"/>
      </w:pPr>
      <w:r>
        <w:t>39 source ecological groups (+1 computational import); 26 catch labels.</w:t>
      </w:r>
    </w:p>
    <w:p>
      <w:pPr>
        <w:keepNext w:val="0"/>
        <w:pageBreakBefore w:val="0"/>
        <w:spacing w:after="120"/>
      </w:pPr>
      <w:r>
        <w:t>Simple-chain PPR totals 226,007,970.44 t C in 2019.</w:t>
      </w:r>
    </w:p>
    <w:p>
      <w:pPr>
        <w:keepNext w:val="0"/>
        <w:pageBreakBefore w:val="0"/>
        <w:spacing w:after="120"/>
      </w:pPr>
      <w:r>
        <w:t>Method: independent simple trophic chain using saved classic taxon coefficients.</w:t>
      </w:r>
    </w:p>
    <w:p>
      <w:pPr>
        <w:keepNext w:val="0"/>
        <w:pageBreakBefore w:val="0"/>
        <w:spacing w:after="120"/>
      </w:pPr>
      <w:hyperlink r:id="rId22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3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53.8378%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53.0702%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18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44.0842%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46.4103%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2.0780%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0.5194%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final source membership in the group or stage union.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98.7237%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Unknown finfish or shark/ray composition uses represented-pool proxies.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0.5194%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current and historical names identify the source taxon.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0.4922%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 pelagic billfish or mako extends listed source species.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0.2071%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Family spans a supported complete set of named and mixed fish groups.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0.0575%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Southern bluefin uses Pacific bluefin despite habitat/residency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4">
        <w:r>
          <w:rPr>
            <w:color w:val="0563C1"/>
            <w:u w:val="single"/>
          </w:rPr>
          <w:t>final definitions, synonyms and complete candidates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group receives the entire catch taxon; no split uncertainty.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53.0702%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source total removals provide assumed composition, transferred across areas, years and catch bases.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46.8406%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Unreported candidate catches reject the catch proxy; complete model biomass assumes regional composition/catchability.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0.0892%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simple-chain PPR associated with taxa using that rule. Weights and assumptions: </w:t>
      </w:r>
      <w:hyperlink r:id="rId25">
        <w:r>
          <w:rPr>
            <w:color w:val="0563C1"/>
            <w:u w:val="single"/>
          </w:rPr>
          <w:t>source catch, biomass and stage evidence</w:t>
        </w:r>
      </w:hyperlink>
    </w:p>
    <w:p>
      <w:pPr>
        <w:keepNext w:val="0"/>
        <w:pageBreakBefore w:val="0"/>
        <w:spacing w:after="120"/>
      </w:pPr>
      <w:r>
        <w:t>Unresolved: none. Very low: Elasmobranchii and the two unidentified marine/pelagic finfish labels use assumed represented-pool composition; Thunnus maccoyii uses a Pacific bluefin analogue. These four labels represent 2.0780% of landings and 0.5194% of simple-chain PPR. Exact candidates and limitations are in the appendix.</w:t>
      </w:r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reconstructed study area S share geographic coordinates and scale. Approximate shelf-break sensitivity and the published study-area denominator support the estimates.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Eastern Central Pacific high seas HS_077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30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HS_077: repaired Sea Around Us high-seas region 77 boundary; Natural Earth 1:50m land exclusion. </w:t>
      </w:r>
      <w:r>
        <w:t xml:space="preserve"> </w:t>
      </w:r>
      <w:hyperlink r:id="rId27">
        <w:r>
          <w:rPr>
            <w:color w:val="0563C1"/>
            <w:u w:val="single"/>
          </w:rPr>
          <w:t>Target boundary</w:t>
        </w:r>
      </w:hyperlink>
      <w:r>
        <w:t xml:space="preserve"> | </w:t>
      </w:r>
      <w:hyperlink r:id="rId28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Reviewer reconstruction of source PDF7 bounds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30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Olson and Watters (2003), printed p. 137 / PDF7: 20°N–20°S, 150°W to American shelf break; 32.8 million km². Coast-following reconstruction; the original article supplies no study map. </w:t>
      </w:r>
      <w:r>
        <w:t xml:space="preserve"> </w:t>
      </w:r>
      <w:hyperlink r:id="rId29">
        <w:r>
          <w:rPr>
            <w:color w:val="0563C1"/>
            <w:u w:val="single"/>
          </w:rPr>
          <w:t>Source passage</w:t>
        </w:r>
      </w:hyperlink>
      <w:r>
        <w:t xml:space="preserve"> | </w:t>
      </w:r>
      <w:hyperlink r:id="rId30">
        <w:r>
          <w:rPr>
            <w:color w:val="0563C1"/>
            <w:u w:val="single"/>
          </w:rPr>
          <w:t>Bounds page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Reconstructed image</w:t>
        </w:r>
      </w:hyperlink>
    </w:p>
    <w:p>
      <w:pPr>
        <w:spacing w:after="40" w:before="0" w:line="240" w:lineRule="auto"/>
      </w:pPr>
      <w:r>
        <w:t>Original geographic study figure: unavailable. Article Figures 1–4 show sensitivity and dynamic trajectories rather than the study boundary.</w:t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HS_077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ETP-2003/Olson_Watters_2003_ETP-c037fcbc.pdf" TargetMode="External"/><Relationship Id="rId12" Type="http://schemas.openxmlformats.org/officeDocument/2006/relationships/hyperlink" Target="https://www.iattc.org/en-US/Publication/Commission/Bulletin" TargetMode="External"/><Relationship Id="rId13" Type="http://schemas.openxmlformats.org/officeDocument/2006/relationships/hyperlink" Target="papers/ETP-2003" TargetMode="External"/><Relationship Id="rId14" Type="http://schemas.openxmlformats.org/officeDocument/2006/relationships/hyperlink" Target="models/077HS_1_Eastern_tropical_Pacific_%281993-1997%29/model.json" TargetMode="External"/><Relationship Id="rId15" Type="http://schemas.openxmlformats.org/officeDocument/2006/relationships/hyperlink" Target="models/077HS_1_Eastern_tropical_Pacific_%281993-1997%29" TargetMode="External"/><Relationship Id="rId16" Type="http://schemas.openxmlformats.org/officeDocument/2006/relationships/hyperlink" Target="evidence/2026-09-28_integration_audit/loaded_state.json" TargetMode="External"/><Relationship Id="rId17" Type="http://schemas.openxmlformats.org/officeDocument/2006/relationships/hyperlink" Target="papers/ETP-2003/extracted/MASTER_INDEX.md" TargetMode="External"/><Relationship Id="rId18" Type="http://schemas.openxmlformats.org/officeDocument/2006/relationships/hyperlink" Target="models/077HS_1_Eastern_tropical_Pacific_%281993-1997%29_c4937140/extracted_tables/REPORT.md" TargetMode="External"/><Relationship Id="rId19" Type="http://schemas.openxmlformats.org/officeDocument/2006/relationships/hyperlink" Target="validation_reports/077HS_1_Eastern_tropical_Pacific_%281993-1997%29/source_review.md#source-layers-and-scientific-limitations" TargetMode="External"/><Relationship Id="rId20" Type="http://schemas.openxmlformats.org/officeDocument/2006/relationships/hyperlink" Target="validation_reports/077HS_1_Eastern_tropical_Pacific_%281993-1997%29/geographic_estimate.json" TargetMode="External"/><Relationship Id="rId21" Type="http://schemas.openxmlformats.org/officeDocument/2006/relationships/hyperlink" Target="validation_reports/077HS_1_Eastern_tropical_Pacific_%281993-1997%29/matrix_inspection.json" TargetMode="External"/><Relationship Id="rId22" Type="http://schemas.openxmlformats.org/officeDocument/2006/relationships/hyperlink" Target="HS077_taxon_mapping_appendix.xlsx" TargetMode="External"/><Relationship Id="rId23" Type="http://schemas.openxmlformats.org/officeDocument/2006/relationships/hyperlink" Target="HS077_taxon_mapping_appendix.xlsx#Sources%21A1" TargetMode="External"/><Relationship Id="rId24" Type="http://schemas.openxmlformats.org/officeDocument/2006/relationships/hyperlink" Target="validation_reports/077HS_1_Eastern_tropical_Pacific_%281993-1997%29/source_review.md#membership-and-reporting-scope" TargetMode="External"/><Relationship Id="rId25" Type="http://schemas.openxmlformats.org/officeDocument/2006/relationships/hyperlink" Target="validation_reports/077HS_1_Eastern_tropical_Pacific_%281993-1997%29/source_review.md#stage-allocation" TargetMode="External"/><Relationship Id="rId26" Type="http://schemas.openxmlformats.org/officeDocument/2006/relationships/image" Target="media/image1.png"/><Relationship Id="rId27" Type="http://schemas.openxmlformats.org/officeDocument/2006/relationships/hyperlink" Target="../../common_reference_data/geography/HighSeas.geojson" TargetMode="External"/><Relationship Id="rId28" Type="http://schemas.openxmlformats.org/officeDocument/2006/relationships/hyperlink" Target="validation_reports/077HS_1_Eastern_tropical_Pacific_%281993-1997%29/region_boundary.png" TargetMode="External"/><Relationship Id="rId29" Type="http://schemas.openxmlformats.org/officeDocument/2006/relationships/hyperlink" Target="papers/ETP-2003/Olson_Watters_2003_ETP-c037fcbc.pdf#page=7" TargetMode="External"/><Relationship Id="rId30" Type="http://schemas.openxmlformats.org/officeDocument/2006/relationships/hyperlink" Target="validation_reports/077HS_1_Eastern_tropical_Pacific_%281993-1997%29/source_bounds_pdf7.png" TargetMode="External"/><Relationship Id="rId31" Type="http://schemas.openxmlformats.org/officeDocument/2006/relationships/hyperlink" Target="validation_reports/077HS_1_Eastern_tropical_Pacific_%281993-1997%29/study_domain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