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California Current model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California Current, LME_003</w:t>
            </w:r>
          </w:p>
          <w:p>
            <w:hyperlink r:id="rId9">
              <w:r>
                <w:rPr>
                  <w:color w:val="0563C1"/>
                  <w:u w:val="single"/>
                </w:rPr>
                <w:t>Regional workbook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Sea Around Us reconstructed catches, 1950–2019. Reference: 2019 landings, excluding discards; frozen regional extract.</w:t>
            </w:r>
          </w:p>
          <w:p>
            <w:hyperlink r:id="rId10">
              <w:r>
                <w:rPr>
                  <w:color w:val="0563C1"/>
                  <w:u w:val="single"/>
                </w:rPr>
                <w:t>SAU California Current</w:t>
              </w:r>
            </w:hyperlink>
            <w:r>
              <w:t xml:space="preserve"> | </w:t>
            </w:r>
            <w:hyperlink r:id="rId11">
              <w:r>
                <w:rPr>
                  <w:color w:val="0563C1"/>
                  <w:u w:val="single"/>
                </w:rPr>
                <w:t>Regional catch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Koehn et al. (2016). Developing a high taxonomic resolution food web model to assess the functional role of forage fish in the California Current ecosystem. Ecological Modelling 335, 87–100.</w:t>
            </w:r>
          </w:p>
          <w:p>
            <w:hyperlink r:id="rId12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3">
              <w:r>
                <w:rPr>
                  <w:color w:val="0563C1"/>
                  <w:u w:val="single"/>
                </w:rPr>
                <w:t>Source PDF</w:t>
              </w:r>
            </w:hyperlink>
            <w:r>
              <w:t xml:space="preserve"> | </w:t>
            </w:r>
            <w:hyperlink r:id="rId14">
              <w:r>
                <w:rPr>
                  <w:color w:val="0563C1"/>
                  <w:u w:val="single"/>
                </w:rPr>
                <w:t>Paper and supplements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Field (2004) and Ruzicka et al. (2007) are earlier California Current models cited by the selected article. Their smaller northern domains are the white dotted area in Figure 1; they are source context, not alternative selected parameterizations.</w:t>
            </w:r>
          </w:p>
          <w:p>
            <w:hyperlink r:id="rId15">
              <w:r>
                <w:rPr>
                  <w:color w:val="0563C1"/>
                  <w:u w:val="single"/>
                </w:rPr>
                <w:t>Selected source discussion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CAL-2016_California_Current_2000-2014. Source baseline combines 2000–2014 information; 93 source groups (92 living, one detritus) plus one synthetic runtime diet_import group. Published model area: 302,000 km².</w:t>
            </w:r>
          </w:p>
          <w:p>
            <w:hyperlink r:id="rId16">
              <w:r>
                <w:rPr>
                  <w:color w:val="0563C1"/>
                  <w:u w:val="single"/>
                </w:rPr>
                <w:t>Canonical source</w:t>
              </w:r>
            </w:hyperlink>
            <w:r>
              <w:t xml:space="preserve"> | </w:t>
            </w:r>
            <w:hyperlink r:id="rId17">
              <w:r>
                <w:rPr>
                  <w:color w:val="0563C1"/>
                  <w:u w:val="single"/>
                </w:rPr>
                <w:t>Selected solved input</w:t>
              </w:r>
            </w:hyperlink>
            <w:r>
              <w:t xml:space="preserve"> | </w:t>
            </w:r>
            <w:hyperlink r:id="rId18">
              <w:r>
                <w:rPr>
                  <w:color w:val="0563C1"/>
                  <w:u w:val="single"/>
                </w:rPr>
                <w:t>Model folder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Other models from the same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The author archive supplies one central parameter set and Monte Carlo realizations of parameter uncertainty. These are not separate geographic or temporal baseline models; this review uses only the recorded central selected input.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Article — High taxonomic resolution and explicit forage-fish groups; main paper, Appendix B and author parameter/diet archive provide reconstructable source evidence.</w:t>
              <w:br/>
              <w:t>Model — The recorded user selection is the audited author-equation B/EE solution, with canonical source and computational runtime retained as distinct roles.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Model extraction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All 93 author Yield fields are explicit and match canonical export and loaded group catch; zero juvenile yields are model uncaught assumptions. Source Table 1 audit checks 837 cells with no differences. Canonical 26 unknown B and 67 unknown EE are preserved; selected source-equation solution has residual 2.84×10⁻¹⁴. Runtime consumer GS=0.2, sole-detritus routing/EE=1 and import bookkeeping are accepted extensions, not article measurements; diets and source parameters are not normalized or repaired.</w:t>
            </w:r>
          </w:p>
          <w:p>
            <w:hyperlink r:id="rId19">
              <w:r>
                <w:rPr>
                  <w:color w:val="0563C1"/>
                  <w:u w:val="single"/>
                </w:rPr>
                <w:t>Source extraction audit</w:t>
              </w:r>
            </w:hyperlink>
            <w:r>
              <w:t xml:space="preserve"> | </w:t>
            </w:r>
            <w:hyperlink r:id="rId20">
              <w:r>
                <w:rPr>
                  <w:color w:val="0563C1"/>
                  <w:u w:val="single"/>
                </w:rPr>
                <w:t>Catch provenance</w:t>
              </w:r>
            </w:hyperlink>
            <w:r>
              <w:t xml:space="preserve"> | </w:t>
            </w:r>
            <w:hyperlink r:id="rId21">
              <w:r>
                <w:rPr>
                  <w:color w:val="0563C1"/>
                  <w:u w:val="single"/>
                </w:rPr>
                <w:t>Protected inputs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SPPR calculation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[MANUAL — Researcher: calculation choices and reasons]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[Excluded groups, scope and relevant values; other adjustments]</w:t>
            </w:r>
          </w:p>
        </w:tc>
      </w:tr>
    </w:tbl>
    <w:p>
      <w:pPr>
        <w:spacing w:after="40" w:before="0" w:line="240" w:lineRule="auto"/>
        <w:pageBreakBefore/>
      </w:pPr>
      <w:r>
        <w:rPr>
          <w:rFonts w:ascii="Calibri" w:hAnsi="Calibri"/>
          <w:sz w:val="2"/>
          <w:color w:val="000000"/>
        </w:rPr>
        <w:t xml:space="preserv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WARN. Full 94-recipient × 3-source matrix has no negative or nonfinite entries. rho_living=0.454504269; b=0.185834010. Detritus (93) SPPR=1.513603626. Source balance and primary-production accounting pass; 21 zero-EE groups, accepted GS/detritus extensions and near-zero effective efficiencies remain limitations.</w:t>
            </w:r>
          </w:p>
          <w:p>
            <w:hyperlink r:id="rId22">
              <w:r>
                <w:rPr>
                  <w:color w:val="0563C1"/>
                  <w:u w:val="single"/>
                </w:rPr>
                <w:t>Exact direct returns and all axes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WARN. Full matrix has no negative or nonfinite entries. rho_living=0.562095966; b=0 by this method convention. Detritus (93) SPPR=1.132196143. EE-fix follows the selected convention; zero EE and near-zero trophic efficiencies remain. No solver rerun or parameter repair was made.</w:t>
            </w:r>
          </w:p>
          <w:p>
            <w:hyperlink r:id="rId23">
              <w:r>
                <w:rPr>
                  <w:color w:val="0563C1"/>
                  <w:u w:val="single"/>
                </w:rPr>
                <w:t>Direct TE return</w:t>
              </w:r>
            </w:hyperlink>
            <w:r>
              <w:t xml:space="preserve"> | </w:t>
            </w:r>
            <w:hyperlink r:id="rId24">
              <w:r>
                <w:rPr>
                  <w:color w:val="0563C1"/>
                  <w:u w:val="single"/>
                </w:rPr>
                <w:t>Full matrix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A. Region covered by study: approximately 8–13%.</w:t>
              <w:br/>
              <w:t>B. Study area covered by region: approximately 60–90%.</w:t>
              <w:br/>
              <w:t>These are rounded approximate ranges from source bounds, the current marine polygon and published area, not measured overlap or statistical intervals.</w:t>
            </w:r>
          </w:p>
          <w:p>
            <w:hyperlink r:id="rId25">
              <w:r>
                <w:rPr>
                  <w:color w:val="0563C1"/>
                  <w:u w:val="single"/>
                </w:rPr>
                <w:t>Independent A/B assessment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Source information spans 2000–2014; reference catch is 2019, five years after the latest source year. Fixed model coefficients and fixed composition proxies are applied across 1950–2019 and catch bases; annual ecosystem or juvenile/adult composition is not reconstructed.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With Egestion retains WARN; rho_living=0.363603415, b=0.200920643 and Detritus (93) SPPR=1.592796611; its full matrix has no negative/nonfinite entries. All 349 labels are assigned, but 190 Very low labels account for 37.3786% of landings and 19.3913% of independent simple-chain PPR. Coastal herbivore/detritivore analogues retain serious feeding-pathway mismatch; full label assignment does not establish production eligibility.</w:t>
            </w:r>
          </w:p>
          <w:p>
            <w:hyperlink r:id="rId26">
              <w:r>
                <w:rPr>
                  <w:color w:val="0563C1"/>
                  <w:u w:val="single"/>
                </w:rPr>
                <w:t>Feeding-role and competitor review</w:t>
              </w:r>
            </w:hyperlink>
            <w:r>
              <w:t xml:space="preserve"> | </w:t>
            </w:r>
            <w:hyperlink r:id="rId27">
              <w:r>
                <w:rPr>
                  <w:color w:val="0563C1"/>
                  <w:u w:val="single"/>
                </w:rPr>
                <w:t>Evidence index</w:t>
              </w:r>
            </w:hyperlink>
          </w:p>
          <w:p>
            <w:r>
              <w:t xml:space="preserve">Very low mappings contribute 55.12% of GE, 60.23% of TE and 52.41% of With Egestion PPR; these shares differ from the independent simple-chain coverage summary. </w:t>
            </w:r>
            <w:hyperlink r:id="rId37">
              <w:r>
                <w:rPr>
                  <w:color w:val="0563C1"/>
                  <w:u w:val="single"/>
                </w:rPr>
                <w:t>Method-specific exposure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[Researcher: open issues and next actions]</w:t>
              <w:br/>
              <w:t/>
              <w:br/>
              <w:t/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Review and reproducibility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Researcher name: [name] | review date: [date]</w:t>
              <w:br/>
              <w:t/>
              <w:br/>
              <w:t/>
              <w:br/>
              <w:t/>
            </w:r>
          </w:p>
        </w:tc>
      </w:tr>
    </w:tbl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30"/>
        </w:rPr>
        <w:t>Taxon mapping and coverage</w:t>
      </w:r>
    </w:p>
    <w:p>
      <w:pPr>
        <w:keepNext w:val="0"/>
        <w:pageBreakBefore w:val="0"/>
        <w:spacing w:after="120"/>
      </w:pPr>
      <w:r>
        <w:t>Reference: 2019 landings. Independent all-taxon simple-chain estimate; all source support, all labels and no group filter.</w:t>
      </w:r>
    </w:p>
    <w:p>
      <w:pPr>
        <w:keepNext w:val="0"/>
        <w:pageBreakBefore w:val="0"/>
        <w:spacing w:after="120"/>
      </w:pPr>
      <w:r>
        <w:t>93 source groups plus one synthetic runtime import; 349 catch taxa.</w:t>
      </w:r>
    </w:p>
    <w:p>
      <w:pPr>
        <w:keepNext w:val="0"/>
        <w:pageBreakBefore w:val="0"/>
        <w:spacing w:after="120"/>
      </w:pPr>
      <w:r>
        <w:t>Simple-chain PPR totals 107,146,622.596 t C in 2019.</w:t>
      </w:r>
    </w:p>
    <w:p>
      <w:pPr>
        <w:keepNext w:val="0"/>
        <w:pageBreakBefore w:val="0"/>
        <w:spacing w:after="120"/>
      </w:pPr>
      <w:r>
        <w:t>72 labels lack a classic TL/coefficient; all have zero reference-year landings and contribute zero PPR. No positive-catch contribution is unknown.</w:t>
      </w:r>
    </w:p>
    <w:p>
      <w:pPr>
        <w:keepNext w:val="0"/>
        <w:pageBreakBefore w:val="0"/>
        <w:spacing w:after="120"/>
      </w:pPr>
      <w:r>
        <w:t>Simple-chain PPR uses the saved fixed taxon coefficients of the simple trophic chain method; landings × coefficient / 9 once, in tonnes C.</w:t>
      </w:r>
    </w:p>
    <w:p>
      <w:pPr>
        <w:keepNext w:val="0"/>
        <w:pageBreakBefore w:val="0"/>
        <w:spacing w:after="120"/>
      </w:pPr>
      <w:hyperlink r:id="rId28">
        <w:r>
          <w:rPr>
            <w:color w:val="0563C1"/>
            <w:u w:val="single"/>
          </w:rPr>
          <w:t>All-taxon Excel appendix</w:t>
        </w:r>
      </w:hyperlink>
      <w:r>
        <w:t xml:space="preserve"> | </w:t>
      </w:r>
      <w:hyperlink r:id="rId29">
        <w:r>
          <w:rPr>
            <w:color w:val="0563C1"/>
            <w:u w:val="single"/>
          </w:rPr>
          <w:t>Descriptive Sources sheet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2304"/>
        <w:gridCol w:w="2376"/>
      </w:tblGrid>
      <w:tr>
        <w:trPr>
          <w:tblHeader/>
          <w:cantSplit/>
        </w:trPr>
        <w:tc>
          <w:tcPr>
            <w:tcW w:type="dxa" w:w="3888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Overall confidence</w:t>
            </w:r>
          </w:p>
        </w:tc>
        <w:tc>
          <w:tcPr>
            <w:tcW w:type="dxa" w:w="1440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Taxa (n)</w:t>
            </w:r>
          </w:p>
        </w:tc>
        <w:tc>
          <w:tcPr>
            <w:tcW w:type="dxa" w:w="230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Catch (%)</w:t>
            </w:r>
          </w:p>
        </w:tc>
        <w:tc>
          <w:tcPr>
            <w:tcW w:type="dxa" w:w="2376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Simple-chain PPR (%)</w:t>
            </w:r>
          </w:p>
        </w:tc>
      </w:tr>
      <w:tr>
        <w:trPr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High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75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27.8318%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11.2119%</w:t>
            </w:r>
          </w:p>
        </w:tc>
      </w:tr>
      <w:tr>
        <w:trPr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Medium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67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33.9652%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69.1983%</w:t>
            </w:r>
          </w:p>
        </w:tc>
      </w:tr>
      <w:tr>
        <w:trPr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Low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17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0.8244%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0.1985%</w:t>
            </w:r>
          </w:p>
        </w:tc>
      </w:tr>
      <w:tr>
        <w:trPr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Very low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190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37.3786%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19.3913%</w:t>
            </w:r>
          </w:p>
        </w:tc>
      </w:tr>
      <w:tr>
        <w:trPr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Unresolved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  <w:tr>
        <w:trPr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Sum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349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100.0000%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100.0000%</w:t>
            </w:r>
          </w:p>
        </w:tc>
      </w:tr>
    </w:tbl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The summary uses the weaker required membership or allocation confidence. The following tables show each component separately.</w:t>
      </w:r>
    </w:p>
    <w:p>
      <w:pPr>
        <w:keepNext/>
        <w:pageBreakBefore w:val="0"/>
        <w:spacing w:after="120"/>
      </w:pPr>
      <w:r>
        <w:rPr>
          <w:rFonts w:ascii="Calibri" w:hAnsi="Calibri"/>
          <w:b/>
          <w:color w:val="000000"/>
          <w:sz w:val="23"/>
        </w:rPr>
        <w:t>Group assignment rules</w:t>
      </w:r>
    </w:p>
    <w:p>
      <w:r>
        <w:t xml:space="preserve">Evidence: </w:t>
      </w:r>
      <w:hyperlink r:id="rId32">
        <w:r>
          <w:rPr>
            <w:color w:val="0563C1"/>
            <w:u w:val="single"/>
          </w:rPr>
          <w:t>Every taxon and candidate</w:t>
        </w:r>
      </w:hyperlink>
      <w:r>
        <w:t xml:space="preserve"> | </w:t>
      </w:r>
      <w:hyperlink r:id="rId33">
        <w:r>
          <w:rPr>
            <w:color w:val="0563C1"/>
            <w:u w:val="single"/>
          </w:rPr>
          <w:t>Source quantities and weight assumptions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Explicitly listed source member of the group or stage pair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78.1640%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Closest practical taxonomic or ecological analogue for an absent compartment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11.5950%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Broad reporting composition approximated by named and residual pools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7.7962%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Unambiguous documented taxonomic group fit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1.9801%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Taxonomic extension from source-listed representatives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0.2658%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Assumed group set supported by source members and taxonomy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0.1938%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Partial or conflicting ecological fit among plausible pools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0.0047%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Verified synonym of an explicitly listed source member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0.0003%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Supported ecological extension of the source-defined group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</w:tbl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23"/>
        </w:rPr>
        <w:t>Allocation weight rules</w:t>
      </w:r>
    </w:p>
    <w:p>
      <w:r>
        <w:t xml:space="preserve">Evidence: </w:t>
      </w:r>
      <w:hyperlink r:id="rId32">
        <w:r>
          <w:rPr>
            <w:color w:val="0563C1"/>
            <w:u w:val="single"/>
          </w:rPr>
          <w:t>Every taxon and candidate</w:t>
        </w:r>
      </w:hyperlink>
      <w:r>
        <w:t xml:space="preserve"> | </w:t>
      </w:r>
      <w:hyperlink r:id="rId33">
        <w:r>
          <w:rPr>
            <w:color w:val="0563C1"/>
            <w:u w:val="single"/>
          </w:rPr>
          <w:t>Source quantities and weight assumptions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Complete selected-model caught-mass proportions as a fixed composition proxy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76.7518%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One group receives the complete catch; no split uncertainty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23.0539%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Preserved regional identified-catch donor composition; reporting-population applicability uncertain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0.1943%</w:t>
            </w:r>
          </w:p>
        </w:tc>
      </w:tr>
    </w:tbl>
    <w:p>
      <w:pPr>
        <w:keepNext w:val="0"/>
        <w:pageBreakBefore w:val="0"/>
        <w:spacing w:after="120"/>
      </w:pPr>
      <w:r>
        <w:t>Each rule percentage is the share of independent simple-chain PPR associated with taxa using that rule.</w:t>
      </w:r>
    </w:p>
    <w:p>
      <w:pPr>
        <w:keepNext w:val="0"/>
        <w:pageBreakBefore w:val="0"/>
        <w:spacing w:after="120"/>
      </w:pPr>
      <w:r>
        <w:t>Unresolved taxa: none. Very low approximation does not mean source membership: 190 labels rely on broad reporting composition or a closest practical analogue. All zero catches and zero-weight candidate stages remain in the linked evidence. Provider maximum-length categories do not establish caught stage; complete author Yield provides W4, while prior identified-catch donor proportions remain W5 Low.</w:t>
      </w:r>
      <w:r>
        <w:t xml:space="preserve"> The four broad bony-fish labels now include all 40 eligible source groups, including named pelagics and genuine zero-catch stages. Juvenile sablefish and lingcod (group 31) remain in the pelagic set; adult sablefish (group 45) does not. Complete author Yield supplies assumed catch proportions. </w:t>
      </w:r>
      <w:hyperlink r:id="rId36">
        <w:r>
          <w:rPr>
            <w:color w:val="0563C1"/>
            <w:u w:val="single"/>
          </w:rPr>
          <w:t>Complete candidate evidence</w:t>
        </w:r>
      </w:hyperlink>
    </w:p>
    <w:p>
      <w:pPr>
        <w:pStyle w:val="Title"/>
        <w:pageBreakBefore/>
        <w:keepNext/>
        <w:pageBreakBefore/>
      </w:pPr>
      <w:r>
        <w:t>Geographic evidence screenshots</w:t>
      </w:r>
    </w:p>
    <w:p>
      <w:pPr>
        <w:spacing w:after="40" w:before="0" w:line="240" w:lineRule="auto"/>
      </w:pPr>
      <w:r>
        <w:t>Target R is the current marine LME boundary. S is a coarse coastal-corridor reconstruction. Its 232,510 km² area differs from the published 302,000 km²: holding reconstructed overlap fixed gives B 77.81% or 59.91%, respectively. These are distinct denominator scenarios; exact 2000 m GIS is unavailable.</w:t>
      </w:r>
    </w:p>
    <w:p>
      <w:pPr>
        <w:pStyle w:val="Heading2"/>
      </w:pPr>
      <w:r>
        <w:t>Region area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Target region boundary</w:t>
            </w:r>
          </w:p>
        </w:tc>
      </w:tr>
      <w:tr>
        <w:trPr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6035040" cy="572153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_region_and_bounds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57215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California Current LME_003. Current repaired SAU marine boundary with reconstructed source bounds; this image is our reconstruction, not an article figure. </w:t>
      </w:r>
      <w:hyperlink r:id="rId30">
        <w:r>
          <w:rPr>
            <w:color w:val="0563C1"/>
            <w:u w:val="single"/>
          </w:rPr>
          <w:t>Boundary source</w:t>
        </w:r>
      </w:hyperlink>
      <w:r>
        <w:t xml:space="preserve"> | </w:t>
      </w:r>
      <w:hyperlink r:id="rId31">
        <w:r>
          <w:rPr>
            <w:color w:val="0563C1"/>
            <w:u w:val="single"/>
          </w:rPr>
          <w:t>Reconstructed GeoJSON</w:t>
        </w:r>
      </w:hyperlink>
    </w:p>
    <w:p>
      <w:pPr>
        <w:pStyle w:val="Heading2"/>
        <w:pageBreakBefore/>
      </w:pPr>
      <w:r>
        <w:t>Study area in the article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Study boundary for the selected model</w:t>
            </w:r>
          </w:p>
        </w:tc>
      </w:tr>
      <w:tr>
        <w:trPr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6035040" cy="56620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figure_1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56620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Koehn et al. (2016), Figure 1, PDF p. 5 / printed p. 91. Dark shading denotes the selected model; white dots denote earlier models. Caption/prose state northern Vancouver Island to Punta Eugenia. Shading appears farther south; explicit bounds govern the reconstruction. The inherited target-envelope footprint conflicts with this subregional study. </w:t>
      </w:r>
      <w:hyperlink r:id="rId15">
        <w:r>
          <w:rPr>
            <w:color w:val="0563C1"/>
            <w:u w:val="single"/>
          </w:rPr>
          <w:t>Original PDF</w:t>
        </w:r>
      </w:hyperlink>
    </w:p>
    <w:sectPr w:rsidR="00FC693F" w:rsidRPr="0006063C" w:rsidSect="00034616">
      <w:type w:val="nextPage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Validation1" Type="http://schemas.openxmlformats.org/officeDocument/2006/relationships/hyperlink" Target="[Excel_appendix.xlsx]" TargetMode="External"/><Relationship Id="rId9" Type="http://schemas.openxmlformats.org/officeDocument/2006/relationships/hyperlink" Target="LME_003.xlsx" TargetMode="External"/><Relationship Id="rId10" Type="http://schemas.openxmlformats.org/officeDocument/2006/relationships/hyperlink" Target="https://www.seaaroundus.org/data/#/lme/3" TargetMode="External"/><Relationship Id="rId11" Type="http://schemas.openxmlformats.org/officeDocument/2006/relationships/hyperlink" Target="raw/LME_003.csv.gz" TargetMode="External"/><Relationship Id="rId12" Type="http://schemas.openxmlformats.org/officeDocument/2006/relationships/hyperlink" Target="https://doi.org/10.1016/j.ecolmodel.2016.05.010" TargetMode="External"/><Relationship Id="rId13" Type="http://schemas.openxmlformats.org/officeDocument/2006/relationships/hyperlink" Target="papers/CAL-2016/Koehn_etal_2016_HighResFoodWebForageCalCur-e8f7f130.pdf" TargetMode="External"/><Relationship Id="rId14" Type="http://schemas.openxmlformats.org/officeDocument/2006/relationships/hyperlink" Target="papers/CAL-2016" TargetMode="External"/><Relationship Id="rId15" Type="http://schemas.openxmlformats.org/officeDocument/2006/relationships/hyperlink" Target="papers/CAL-2016/Koehn_etal_2016_HighResFoodWebForageCalCur-e8f7f130.pdf#page=5" TargetMode="External"/><Relationship Id="rId16" Type="http://schemas.openxmlformats.org/officeDocument/2006/relationships/hyperlink" Target="models/CAL-2016_California_Current_2000-2014/model.json" TargetMode="External"/><Relationship Id="rId17" Type="http://schemas.openxmlformats.org/officeDocument/2006/relationships/hyperlink" Target="models/CAL-2016_California_Current_2000-2014/selected_pipeline/3_2016_Author_solved_California_Current_(2000-2014).json" TargetMode="External"/><Relationship Id="rId18" Type="http://schemas.openxmlformats.org/officeDocument/2006/relationships/hyperlink" Target="models/CAL-2016_California_Current_2000-2014" TargetMode="External"/><Relationship Id="rId19" Type="http://schemas.openxmlformats.org/officeDocument/2006/relationships/hyperlink" Target="models/CAL-2016_California_Current_2000-2014/extracted_tables/REPORT.md" TargetMode="External"/><Relationship Id="rId20" Type="http://schemas.openxmlformats.org/officeDocument/2006/relationships/hyperlink" Target="validation_reports/CAL-2016_California_Current_2000-2014/source_catch_provenance.json" TargetMode="External"/><Relationship Id="rId21" Type="http://schemas.openxmlformats.org/officeDocument/2006/relationships/hyperlink" Target="validation_reports/CAL-2016_California_Current_2000-2014/accepted_input_verification.json" TargetMode="External"/><Relationship Id="rId22" Type="http://schemas.openxmlformats.org/officeDocument/2006/relationships/hyperlink" Target="validation_reports/CAL-2016_California_Current_2000-2014/diagnostics_verification.json" TargetMode="External"/><Relationship Id="rId23" Type="http://schemas.openxmlformats.org/officeDocument/2006/relationships/hyperlink" Target="models/CAL-2016_California_Current_2000-2014/selected_pipeline/te_direct_return.json" TargetMode="External"/><Relationship Id="rId24" Type="http://schemas.openxmlformats.org/officeDocument/2006/relationships/hyperlink" Target="models/CAL-2016_California_Current_2000-2014/selected_pipeline/te_source_resolved_sppr.csv" TargetMode="External"/><Relationship Id="rId25" Type="http://schemas.openxmlformats.org/officeDocument/2006/relationships/hyperlink" Target="validation_reports/CAL-2016_California_Current_2000-2014/geographic_estimate.json" TargetMode="External"/><Relationship Id="rId26" Type="http://schemas.openxmlformats.org/officeDocument/2006/relationships/hyperlink" Target="validation_reports/CAL-2016_California_Current_2000-2014/analogue_review.json" TargetMode="External"/><Relationship Id="rId27" Type="http://schemas.openxmlformats.org/officeDocument/2006/relationships/hyperlink" Target="validation_reports/CAL-2016_California_Current_2000-2014/reports_index.md" TargetMode="External"/><Relationship Id="rId28" Type="http://schemas.openxmlformats.org/officeDocument/2006/relationships/hyperlink" Target="LME003_taxon_mapping_appendix.xlsx" TargetMode="External"/><Relationship Id="rId29" Type="http://schemas.openxmlformats.org/officeDocument/2006/relationships/hyperlink" Target="LME003_taxon_mapping_appendix.xlsx#Sources!A1" TargetMode="External"/><Relationship Id="rId30" Type="http://schemas.openxmlformats.org/officeDocument/2006/relationships/hyperlink" Target="../../common_reference_data/geography/LMEs.geojson" TargetMode="External"/><Relationship Id="rId31" Type="http://schemas.openxmlformats.org/officeDocument/2006/relationships/hyperlink" Target="validation_reports/CAL-2016_California_Current_2000-2014/geography/reviewed_study_bounds_reconstruction.geojson" TargetMode="External"/><Relationship Id="rId32" Type="http://schemas.openxmlformats.org/officeDocument/2006/relationships/hyperlink" Target="validation_reports/CAL-2016_California_Current_2000-2014/taxon_audit.json" TargetMode="External"/><Relationship Id="rId33" Type="http://schemas.openxmlformats.org/officeDocument/2006/relationships/hyperlink" Target="validation_reports/CAL-2016_California_Current_2000-2014/allocation_evidence.json" TargetMode="External"/><Relationship Id="rId34" Type="http://schemas.openxmlformats.org/officeDocument/2006/relationships/image" Target="media/image1.png"/><Relationship Id="rId35" Type="http://schemas.openxmlformats.org/officeDocument/2006/relationships/image" Target="media/image2.png"/><Relationship Id="rId36" Type="http://schemas.openxmlformats.org/officeDocument/2006/relationships/hyperlink" Target="validation_reports/CAL-2016_California_Current_2000-2014/broad_candidate_followup.json" TargetMode="External"/><Relationship Id="rId37" Type="http://schemas.openxmlformats.org/officeDocument/2006/relationships/hyperlink" Target="validation_reports/CAL-2016_California_Current_2000-2014/broad_candidate_method_exposure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