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Patagonian Shelf, LME_014; source study is the Falkland shelf subarea.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1950–2019 series; reference: 2019 landings. All 250 exact labels, including zero catch and unidentified categories.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Regional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Büring et al. (2024). Unveiling the wasp-waist structure of the Falkland shelf ecosystem: the role of Doryteuthis gahi as a keystone species and its trophic influences. Journal of the Marine Biological Association of the United Kingdom 104, e2. Historical folder PAT-2023.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DOI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Ocampo-Reinaldo et al. (2016), San Matías Gulf 1970 reconstruction. It models another subregional area and has source reconstruction/balance limitations.</w:t>
            </w:r>
            <w:r>
              <w:t xml:space="preserve"> </w:t>
            </w:r>
            <w:hyperlink r:id="rId13">
              <w:r>
                <w:rPr>
                  <w:color w:val="0563C1"/>
                  <w:u w:val="single"/>
                </w:rPr>
                <w:t>Other retained model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PAT2024_FalklandShelf_2020_native; one native 2020 Ecopath model, 36 source groups (+ synthetic diet_import). Falkland shelf to 300 m, approximately 200,000 km²; EwE 6.6.8.18072.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Canonical source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Model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Published-table reconstruction is a different extraction of the same 2020 model, not another final model. S3 initial 45-group parameterization is distinct from the native final 36-group model; dynamic scenarios are not additional static inputs.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Model inventory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User selected the audited native model because it did not FAIL. GE, TE and With Egestion return WARN after coupled completion of source-missing B/EE. Model availability and non-failure do not establish whole-LME suitability.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Main PDF, CSV S1/S2, native database supplement and initial-model DOCX are retained. Source/canonical/accepted computational layers are distinct: coupled missing B/EE, nonconsumer sentinels and native routing are preserved. Native living fate and fleet discards supply Detritus 36 while Discards 35 has consumers; loader negative detritus BA compensation remains a limitation. No scientific parameters rebalanced.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Source/runtime review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Source comparison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negative/nonfinite entries in all 185 source–recipient values, including unfished groups. rho_living=0.28190653; b=0.03672140; Detritus SPPR=1.08718847; Discards=0. Overall WARN. Strict balance passes.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negative/nonfinite entries in all 185 source–recipient values, including unfished groups. rho_living=0.30979371; b=0.00000000; Detritus SPPR=0.94115749; Discards=0. Overall WARN. Strict balance fails: relative gap 0.00012557; maximum Sharks SPPR 63,225,811.23. Near-zero TE groups 32/26/25 and EE=0 Baleen Whales retained.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17.09% of target region covered by study. B: about 100% of study covered by target. Reported 200,000 km² and source subarea statement assumed; no verified study polygon.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Boundary assessment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2020 source applied to 1950–2019 catches; reference is one year earlier. Fixed group coefficients and 2020 composition proxies do not reconstruct historical ecosystem change. Article publication is 2024.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With Egestion: all 185 values finite/nonnegative; rho_living=0.22552522, b=0.04221383, Detritus=1.10650126, Discards=0; balance passes, overall WARN. New TE exposure is 97.07% Prionace glauca, a Very low pelagic analogue using unchanged extreme Sharks coefficient. Routing and subregional transfer concerns remain.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Full matrices/settings</w:t>
              </w:r>
            </w:hyperlink>
            <w:r>
              <w:t xml:space="preserve"> | </w:t>
            </w:r>
            <w:hyperlink r:id="rId21">
              <w:r>
                <w:rPr>
                  <w:color w:val="0563C1"/>
                  <w:u w:val="single"/>
                </w:rPr>
                <w:t>Shark exposure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labels, zero and unidentified categories included; no group filter.</w:t>
      </w:r>
    </w:p>
    <w:p>
      <w:pPr>
        <w:keepNext w:val="0"/>
        <w:pageBreakBefore w:val="0"/>
        <w:spacing w:after="120"/>
      </w:pPr>
      <w:r>
        <w:t>36 source groups (+1 computational import); 250 exact catch labels.</w:t>
      </w:r>
    </w:p>
    <w:p>
      <w:pPr>
        <w:keepNext w:val="0"/>
        <w:pageBreakBefore w:val="0"/>
        <w:spacing w:after="120"/>
      </w:pPr>
      <w:r>
        <w:t>Simple-chain PPR totals 142,458,248.78 t C; catch totals 1,497,627.62 t.</w:t>
      </w:r>
    </w:p>
    <w:p>
      <w:pPr>
        <w:keepNext w:val="0"/>
        <w:pageBreakBefore w:val="0"/>
        <w:spacing w:after="120"/>
      </w:pPr>
      <w:r>
        <w:t>55 labels lack a saved classic coefficient/TL; all have zero 2019 landings and zero annual PPR. Unavailable TL remains ?, not zero.</w:t>
      </w:r>
    </w:p>
    <w:p>
      <w:pPr>
        <w:keepNext w:val="0"/>
        <w:pageBreakBefore w:val="0"/>
        <w:spacing w:after="120"/>
      </w:pPr>
      <w:r>
        <w:t>Method: independent simple trophic chain, saved classic wet coefficient × catch / 9 once. Percentages use its full unrounded denominator.</w:t>
      </w:r>
    </w:p>
    <w:p>
      <w:pPr>
        <w:keepNext w:val="0"/>
        <w:pageBreakBefore w:val="0"/>
        <w:spacing w:after="120"/>
      </w:pPr>
      <w:hyperlink r:id="rId22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3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27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63.0475%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91.8375%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26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4.1639%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1.6823%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0.1117%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0.2429%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196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32.6769%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6.2373%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M1: Explicit named final-source member.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92.0523%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M11: Closest meaningful taxonomic or ecological analogue; mismatch retained.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5.0878%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M9: Supported broader reporting label or combined named taxa.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1.6054%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M10: Broad-category approximation across represented candidates.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1.1495%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M4: Supported related-source genus/family/order extension.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0.0876%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M3: Explicit bivalve/scallop Small Zoobenthos definition.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0.0174%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4">
        <w:r>
          <w:rPr>
            <w:color w:val="0563C1"/>
            <w:u w:val="single"/>
          </w:rPr>
          <w:t>source definitions and all 37 candidate decisions per taxon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W1: One reviewed group;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95.9104%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W4: Complete native 2020 catch proxy; D. gahi preserved cohort landings.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3.8467%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W5: Identified regional hake donor proportions; reporting-population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0.2429%</w:t>
            </w:r>
          </w:p>
        </w:tc>
      </w:tr>
    </w:tbl>
    <w:p>
      <w:pPr>
        <w:keepNext w:val="0"/>
        <w:pageBreakBefore w:val="0"/>
        <w:spacing w:after="120"/>
      </w:pPr>
      <w:r>
        <w:t xml:space="preserve">W4 uses complete native fleet landings + discards, retaining genuine zero candidates; source mixture is a fixed spatial/temporal assumption. D. gahi cohort landings weights are preserved at 49.237747%/50.762253%. Merluccius Common/Austral weights remain 99.482031%/0.517969%, but W5 is Low because target/donor country, gear and reporting populations differ. </w:t>
      </w:r>
      <w:hyperlink r:id="rId25">
        <w:r>
          <w:rPr>
            <w:color w:val="0563C1"/>
            <w:u w:val="single"/>
          </w:rPr>
          <w:t>Exact weights and evidence</w:t>
        </w:r>
      </w:hyperlink>
    </w:p>
    <w:p>
      <w:pPr>
        <w:keepNext w:val="0"/>
        <w:pageBreakBefore w:val="0"/>
        <w:spacing w:after="120"/>
      </w:pPr>
      <w:r>
        <w:t>Unresolved: none. Very low: 196 labels represent 32.6769% of landings / 6.2373% of classic PPR. Largest weak PPR exposures: Pomatomus saltatrix 1.4754%; Marine fishes not identified 1.0692%; Cynoscion guatucupa 0.7067%; Micropogonias furnieri 0.6159%. Shrimp uses benthic Munida as a decapod analogue; unlisted demersals use both residual pools because no source size cutoff exists; generic categories retain named and residual candidates. Stage, taxonomy, habitat and geography differ. Coverage does not establish ecological validity.</w:t>
      </w:r>
      <w:r>
        <w:t xml:space="preserve"> Residual fish reporting uses the verified bony-fish scope: dedicated Dogfish, Sharks and Skates are excluded; source-zero Myctophidae remains eligible. Complete native catch proportions retain Medium allocation confidence. </w:t>
      </w:r>
      <w:hyperlink r:id="rId34">
        <w:r>
          <w:rPr>
            <w:color w:val="0563C1"/>
            <w:u w:val="single"/>
          </w:rPr>
          <w:t>Reporting scope evidence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 and study S are separate geographic objects. The reported shelf area/subarea relationship supports approximate overlap assumptions; source sampling maps do not provide a verified 300 m study outline.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Patagonian Shelf LME_014 target region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3779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779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Target R: Sea Around Us Patagonian Shelf boundary, geodesic area 1,170,516 km². Blue = target; point locates Falkland Islands. </w:t>
      </w:r>
      <w:r>
        <w:t xml:space="preserve"> </w:t>
      </w:r>
      <w:hyperlink r:id="rId28">
        <w:r>
          <w:rPr>
            <w:color w:val="0563C1"/>
            <w:u w:val="single"/>
          </w:rPr>
          <w:t>Target boundary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Source sampling map — Figure 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32517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figure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251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Source S: p.6 reports Falkland shelf to 300 m, about 200,000 km², a subarea of the Patagonian Shelf LME. Assuming nearly all S lies in R: A≈200,000/1,170,516=17.09%; B≈200,000/200,000=100%. These are reported-area assumptions, not measured polygon overlaps or statistical intervals. Figure 1 shows samples/conservation zones and Figure 2 a D. gahi survey area; neither recovers the 300 m model contour. </w:t>
      </w:r>
      <w:r>
        <w:t xml:space="preserve"> </w:t>
      </w:r>
      <w:hyperlink r:id="rId30">
        <w:r>
          <w:rPr>
            <w:color w:val="0563C1"/>
            <w:u w:val="single"/>
          </w:rPr>
          <w:t>Source map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Source domain</w:t>
        </w:r>
      </w:hyperlink>
      <w:r>
        <w:t xml:space="preserve"> | </w:t>
      </w:r>
      <w:hyperlink r:id="rId19">
        <w:r>
          <w:rPr>
            <w:color w:val="0563C1"/>
            <w:u w:val="single"/>
          </w:rPr>
          <w:t>Assessment</w:t>
        </w:r>
      </w:hyperlink>
    </w:p>
    <w:p>
      <w:pPr>
        <w:spacing w:after="40" w:before="0" w:line="240" w:lineRule="auto"/>
      </w:pPr>
      <w:r>
        <w:t xml:space="preserve">The inherited rectangle (64–56°W, 53–48°S) is not the source shelf polygon. Remove its live article display; preserve historical footprint and original source figure. Exact replacement remains unavailable. Target geography is retained. </w:t>
      </w:r>
      <w:r>
        <w:t xml:space="preserve"> </w:t>
      </w:r>
      <w:hyperlink r:id="rId32">
        <w:r>
          <w:rPr>
            <w:color w:val="0563C1"/>
            <w:u w:val="single"/>
          </w:rPr>
          <w:t>Historical rectangle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Original full map page</w:t>
        </w:r>
      </w:hyperlink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14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PAT-2023/unveiling-the-wasp-waist-structure-of-the--6ddbcdca.pdf" TargetMode="External"/><Relationship Id="rId12" Type="http://schemas.openxmlformats.org/officeDocument/2006/relationships/hyperlink" Target="https://doi.org/10.1017/S0025315423000887" TargetMode="External"/><Relationship Id="rId13" Type="http://schemas.openxmlformats.org/officeDocument/2006/relationships/hyperlink" Target="models/OcampoReinaldo2016_SanMatiasGulf_1970/source_report.md" TargetMode="External"/><Relationship Id="rId14" Type="http://schemas.openxmlformats.org/officeDocument/2006/relationships/hyperlink" Target="models/PAT2024_FalklandShelf_2020_native/model.json" TargetMode="External"/><Relationship Id="rId15" Type="http://schemas.openxmlformats.org/officeDocument/2006/relationships/hyperlink" Target="models/PAT2024_FalklandShelf_2020_native" TargetMode="External"/><Relationship Id="rId16" Type="http://schemas.openxmlformats.org/officeDocument/2006/relationships/hyperlink" Target="models/extraction_review_20260928/MASTER_INDEX.md" TargetMode="External"/><Relationship Id="rId17" Type="http://schemas.openxmlformats.org/officeDocument/2006/relationships/hyperlink" Target="validation_reports/PAT2024_FalklandShelf_2020_native/source_review.md#source-layers-and-scientific-limitations" TargetMode="External"/><Relationship Id="rId18" Type="http://schemas.openxmlformats.org/officeDocument/2006/relationships/hyperlink" Target="validation_reports/PAT2024_FalklandShelf_2020_native/source_fidelity_verification.json" TargetMode="External"/><Relationship Id="rId19" Type="http://schemas.openxmlformats.org/officeDocument/2006/relationships/hyperlink" Target="validation_reports/PAT2024_FalklandShelf_2020_native/geography/geographic_assessment.json" TargetMode="External"/><Relationship Id="rId20" Type="http://schemas.openxmlformats.org/officeDocument/2006/relationships/hyperlink" Target="validation_reports/PAT2024_FalklandShelf_2020_native/direct_diagnostics_full.json" TargetMode="External"/><Relationship Id="rId21" Type="http://schemas.openxmlformats.org/officeDocument/2006/relationships/hyperlink" Target="validation_reports/PAT2024_FalklandShelf_2020_native/Sharks27_exposure_review.json" TargetMode="External"/><Relationship Id="rId22" Type="http://schemas.openxmlformats.org/officeDocument/2006/relationships/hyperlink" Target="LME014_taxon_mapping_appendix.xlsx" TargetMode="External"/><Relationship Id="rId23" Type="http://schemas.openxmlformats.org/officeDocument/2006/relationships/hyperlink" Target="LME014_taxon_mapping_appendix.xlsx#Sources%21A1" TargetMode="External"/><Relationship Id="rId24" Type="http://schemas.openxmlformats.org/officeDocument/2006/relationships/hyperlink" Target="validation_reports/PAT2024_FalklandShelf_2020_native/source_review.md#membership-and-reporting-scope" TargetMode="External"/><Relationship Id="rId25" Type="http://schemas.openxmlformats.org/officeDocument/2006/relationships/hyperlink" Target="validation_reports/PAT2024_FalklandShelf_2020_native/allocation_evidence.json" TargetMode="External"/><Relationship Id="rId26" Type="http://schemas.openxmlformats.org/officeDocument/2006/relationships/image" Target="media/image1.png"/><Relationship Id="rId27" Type="http://schemas.openxmlformats.org/officeDocument/2006/relationships/image" Target="media/image2.png"/><Relationship Id="rId28" Type="http://schemas.openxmlformats.org/officeDocument/2006/relationships/hyperlink" Target="validation_reports/PAT2024_FalklandShelf_2020_native/geography/target_region_boundary.geojson" TargetMode="External"/><Relationship Id="rId29" Type="http://schemas.openxmlformats.org/officeDocument/2006/relationships/hyperlink" Target="validation_reports/PAT2024_FalklandShelf_2020_native/geography/target_region.png" TargetMode="External"/><Relationship Id="rId30" Type="http://schemas.openxmlformats.org/officeDocument/2006/relationships/hyperlink" Target="papers/PAT-2023/unveiling-the-wasp-waist-structure-of-the--6ddbcdca.pdf#page=3" TargetMode="External"/><Relationship Id="rId31" Type="http://schemas.openxmlformats.org/officeDocument/2006/relationships/hyperlink" Target="papers/PAT-2023/unveiling-the-wasp-waist-structure-of-the--6ddbcdca.pdf#page=6" TargetMode="External"/><Relationship Id="rId32" Type="http://schemas.openxmlformats.org/officeDocument/2006/relationships/hyperlink" Target="validation_reports/PAT2024_FalklandShelf_2020_native/geography/inherited_article_footprint.geojson" TargetMode="External"/><Relationship Id="rId33" Type="http://schemas.openxmlformats.org/officeDocument/2006/relationships/hyperlink" Target="validation_reports/PAT2024_FalklandShelf_2020_native/geography/source_page_3.png" TargetMode="External"/><Relationship Id="rId34" Type="http://schemas.openxmlformats.org/officeDocument/2006/relationships/hyperlink" Target="validation_reports/PAT2024_FalklandShelf_2020_native/residual_fish_scope_followup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