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Regional model validation record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Region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Celtic-Biscay Shelf, LME_024. Selected study is the Celtic Sea shelf subarea.</w:t>
            </w:r>
            <w:r>
              <w:t xml:space="preserve"> </w:t>
            </w:r>
            <w:hyperlink r:id="rId9">
              <w:r>
                <w:rPr>
                  <w:color w:val="0563C1"/>
                  <w:u w:val="single"/>
                </w:rPr>
                <w:t>Regional workbook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Catch source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Sea Around Us 1950–2019 landings/catch/discards. Reference: 2019 landings; all 488 exact labels, including zero catch and unidentified categories. Retained API retrieval September 2026.</w:t>
            </w:r>
            <w:r>
              <w:t xml:space="preserve"> </w:t>
            </w:r>
            <w:hyperlink r:id="rId10">
              <w:r>
                <w:rPr>
                  <w:color w:val="0563C1"/>
                  <w:u w:val="single"/>
                </w:rPr>
                <w:t>Catch files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Hernvann et al. (2020). The Celtic Sea Through Time and Space: Ecosystem Modeling to Unravel Fishing and Climate Change Impacts on Food-Web Structure and Dynamics. Frontiers in Marine Science 7:578717.</w:t>
            </w:r>
            <w:r>
              <w:t xml:space="preserve"> </w:t>
            </w:r>
            <w:hyperlink r:id="rId11">
              <w:r>
                <w:rPr>
                  <w:color w:val="0563C1"/>
                  <w:u w:val="single"/>
                </w:rPr>
                <w:t>DOI</w:t>
              </w:r>
            </w:hyperlink>
            <w:r>
              <w:t xml:space="preserve"> | </w:t>
            </w:r>
            <w:hyperlink r:id="rId12">
              <w:r>
                <w:rPr>
                  <w:color w:val="0563C1"/>
                  <w:u w:val="single"/>
                </w:rPr>
                <w:t>Main PDF</w:t>
              </w:r>
            </w:hyperlink>
            <w:r>
              <w:t xml:space="preserve"> | </w:t>
            </w:r>
            <w:hyperlink r:id="rId13">
              <w:r>
                <w:rPr>
                  <w:color w:val="0563C1"/>
                  <w:u w:val="single"/>
                </w:rPr>
                <w:t>Complete supplement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 known articles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Lauria, Posen &amp; Mackinson (2016): 65-group Celtic Sea 1991–2012 report; no verified local full input set. Bentorcha et al. (2017): Celtic Sea/Bay of Biscay 1980–2013 trophic models; retained PDF, incomplete static inputs.</w:t>
            </w:r>
            <w:r>
              <w:t xml:space="preserve"> </w:t>
            </w:r>
            <w:hyperlink r:id="rId14">
              <w:r>
                <w:rPr>
                  <w:color w:val="0563C1"/>
                  <w:u w:val="single"/>
                </w:rPr>
                <w:t>2016 DOI</w:t>
              </w:r>
            </w:hyperlink>
            <w:r>
              <w:t xml:space="preserve"> | </w:t>
            </w:r>
            <w:hyperlink r:id="rId15">
              <w:r>
                <w:rPr>
                  <w:color w:val="0563C1"/>
                  <w:u w:val="single"/>
                </w:rPr>
                <w:t>2017 DOI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Selected model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Hernvann_2020_Celtic_Sea_1985; one fully tabulated 1985 static baseline, 54 source groups (+ synthetic diet_import). Shelf shallower than 200 m, ICES 7.e/f/g/h/j.2. Canonical source selected; accepted computational routing adapter is distinct.</w:t>
            </w:r>
            <w:r>
              <w:t xml:space="preserve"> </w:t>
            </w:r>
            <w:hyperlink r:id="rId16">
              <w:r>
                <w:rPr>
                  <w:color w:val="0563C1"/>
                  <w:u w:val="single"/>
                </w:rPr>
                <w:t>Canonical JSON</w:t>
              </w:r>
            </w:hyperlink>
            <w:r>
              <w:t xml:space="preserve"> | </w:t>
            </w:r>
            <w:hyperlink r:id="rId17">
              <w:r>
                <w:rPr>
                  <w:color w:val="0563C1"/>
                  <w:u w:val="single"/>
                </w:rPr>
                <w:t>Accepted runtime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Other models from the same article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1985–2016 dynamic simulation and six mean-period snapshots are not complete additional static models. Supplement B4 input/completed columns refer to the same 1985 baseline; no second final model. Two snapshot period labels conflict between article and supplement.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Selection rationale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Article: separate comparison reason not recorded (?). Model: user explicitly selected the extracted failing 1985 Celtic Sea model for provisional research. GE/With Egestion remain FAIL; TE is unsupported; production eligibility remains false.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Model extraction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Verified main PDF and full supplement support the source reconstruction. Canonical diets round to 0.996–1.002 and routing is absent: strict admission is NOT_RUN. Accepted adapter normalizes diets, completes six PB/missing Megrim EE and routing; printed BA and source conflicts remain. Source P/Q conflicts, zero bird biomass and physical balance failures limit validity. No scientific inputs rebalanced.</w:t>
            </w:r>
            <w:r>
              <w:t xml:space="preserve"> </w:t>
            </w:r>
            <w:hyperlink r:id="rId18">
              <w:r>
                <w:rPr>
                  <w:color w:val="0563C1"/>
                  <w:u w:val="single"/>
                </w:rPr>
                <w:t>Source layers</w:t>
              </w:r>
            </w:hyperlink>
            <w:r>
              <w:t xml:space="preserve"> | </w:t>
            </w:r>
            <w:hyperlink r:id="rId19">
              <w:r>
                <w:rPr>
                  <w:color w:val="0563C1"/>
                  <w:u w:val="single"/>
                </w:rPr>
                <w:t>Retained extraction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SPPR calculation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[MANUAL — Researcher: calculation choices and reasons]</w:t>
            </w:r>
          </w:p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</w:rPr>
              <w:t xml:space="preserve">[Excluded groups, scope and relevant values; other adjustments]</w:t>
            </w:r>
          </w:p>
        </w:tc>
      </w:tr>
    </w:tbl>
    <w:p>
      <w:pPr>
        <w:spacing w:after="40" w:before="0" w:line="240" w:lineRule="auto"/>
        <w:pageBreakBefore/>
      </w:pPr>
      <w:r>
        <w:rPr>
          <w:rFonts w:ascii="Calibri" w:hAnsi="Calibri"/>
          <w:sz w:val="2"/>
          <w:color w:val="000000"/>
        </w:rPr>
        <w:t xml:space="preserv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03"/>
        <w:gridCol w:w="7834"/>
      </w:tblGrid>
      <w:tr>
        <w:trPr>
          <w:cantSplit/>
          <w:tblHeader/>
          <w:tblHeader/>
          <w:cantSplit/>
        </w:trPr>
        <w:tc>
          <w:tcPr>
            <w:tcW w:type="dxa" w:w="2203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Field</w:t>
            </w:r>
          </w:p>
        </w:tc>
        <w:tc>
          <w:tcPr>
            <w:tcW w:type="dxa" w:w="7834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rPr>
                <w:rFonts w:ascii="Calibri" w:hAnsi="Calibri"/>
                <w:sz w:val="21"/>
                <w:color w:val="000000"/>
                <w:b/>
              </w:rPr>
              <w:t xml:space="preserve">Entry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No negative SPPR entries across all five basal-source columns and all 55 recipients, including unfished groups. rho_living=0.41833433; b=0.52012021; Discards53 SPPR=529.29249131; Detritus54=1.58366795. Overall FAIL: living production residual up to 35.38%; PP balance gap 30.13%.</w:t>
            </w:r>
            <w:r>
              <w:t xml:space="preserve"> </w:t>
            </w:r>
            <w:hyperlink r:id="rId20">
              <w:r>
                <w:rPr>
                  <w:color w:val="0563C1"/>
                  <w:u w:val="single"/>
                </w:rPr>
                <w:t>Full matrix and returns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 diagnostics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FAIL: TE_RETURN_UNSUPPORTED for this two-pool fishery-return configuration. Matrix, rho_living, b and detritus SPPR are unavailable; no zero or numerical substitute inferred.</w:t>
            </w:r>
            <w:r>
              <w:t xml:space="preserve"> </w:t>
            </w:r>
            <w:hyperlink r:id="rId21">
              <w:r>
                <w:rPr>
                  <w:color w:val="0563C1"/>
                  <w:u w:val="single"/>
                </w:rPr>
                <w:t>Raw diagnostic returns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Geographic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A. Approximately 25–35% of target region covered by the study. B. Approximately 95–100% of study covered by target. Manual source-contour trace gives central estimates 30.3% and 99.5%; these are approximate visual ranges, not statistical intervals.</w:t>
            </w:r>
            <w:r>
              <w:t xml:space="preserve"> </w:t>
            </w:r>
            <w:hyperlink r:id="rId22">
              <w:r>
                <w:rPr>
                  <w:color w:val="0563C1"/>
                  <w:u w:val="single"/>
                </w:rPr>
                <w:t>Boundary assessment</w:t>
              </w:r>
            </w:hyperlink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Temporal fit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Static 1985 source coefficients and guild compositions applied to 1950–2019 whole-LME catches; reference is 34 years after baseline. Article publication is 2020. Fixed values do not reconstruct annual ecosystems or changes in fishing composition.</w:t>
            </w:r>
          </w:p>
        </w:tc>
      </w:tr>
      <w:tr>
        <w:trPr>
          <w:cantSplit/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Other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>
              <w:t>With Egestion: all 275 entries finite/nonnegative; rho_living=0.32649935; b=0.76189950; Discards53=257.01852139; Detritus54=3.57644818. FAIL, PP gap 5.17%. Provisional GE/Egestion are 26.83/13.30 million t C. Blue whiting supplies about 15% each; Lophiidae 7.10%/6.02% and Hake 5.70%/4.84% depend on source-catch allocation assumptions.</w:t>
            </w:r>
            <w:r>
              <w:t xml:space="preserve"> </w:t>
            </w:r>
            <w:hyperlink r:id="rId23">
              <w:r>
                <w:rPr>
                  <w:color w:val="0563C1"/>
                  <w:u w:val="single"/>
                </w:rPr>
                <w:t>Method exposure</w:t>
              </w:r>
            </w:hyperlink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Open issues and next action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[Researcher: open issues and next actions]</w:t>
              <w:br/>
              <w:t/>
              <w:br/>
              <w:t/>
            </w:r>
          </w:p>
        </w:tc>
      </w:tr>
      <w:tr>
        <w:trPr>
          <w:cantSplit/>
        </w:trPr>
        <w:tc>
          <w:tcPr>
            <w:tcW w:type="dxa" w:w="2203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b/>
                <w:sz w:val="21"/>
              </w:rPr>
              <w:t>Review and reproducibility</w:t>
            </w:r>
          </w:p>
        </w:tc>
        <w:tc>
          <w:tcPr>
            <w:tcW w:type="dxa" w:w="7834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rPr>
                <w:sz w:val="21"/>
              </w:rPr>
              <w:t>Researcher name: [name] | review date: [date]</w:t>
              <w:br/>
              <w:t/>
              <w:br/>
              <w:t/>
              <w:br/>
              <w:t/>
            </w:r>
          </w:p>
        </w:tc>
      </w:tr>
    </w:tbl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30"/>
        </w:rPr>
        <w:t>Taxon mapping and coverage</w:t>
      </w:r>
    </w:p>
    <w:p>
      <w:pPr>
        <w:keepNext w:val="0"/>
        <w:pageBreakBefore w:val="0"/>
        <w:spacing w:after="120"/>
      </w:pPr>
      <w:r>
        <w:t>Reference: 2019 landings; all exact catch labels, zero catch and unidentified categories included; all sources, no group filter.</w:t>
      </w:r>
    </w:p>
    <w:p>
      <w:pPr>
        <w:keepNext w:val="0"/>
        <w:pageBreakBefore w:val="0"/>
        <w:spacing w:after="120"/>
      </w:pPr>
      <w:r>
        <w:t>54 source groups (+1 synthetic import); 488 exact catch labels.</w:t>
      </w:r>
    </w:p>
    <w:p>
      <w:pPr>
        <w:keepNext w:val="0"/>
        <w:pageBreakBefore w:val="0"/>
        <w:spacing w:after="120"/>
      </w:pPr>
      <w:r>
        <w:t>Independent simple-chain PPR totals 105,377,067.66 t C; landings total 1,067,444.89 t.</w:t>
      </w:r>
    </w:p>
    <w:p>
      <w:pPr>
        <w:keepNext w:val="0"/>
        <w:pageBreakBefore w:val="0"/>
        <w:spacing w:after="120"/>
      </w:pPr>
      <w:r>
        <w:t>105 labels have unavailable classic TL/coefficient; all have true zero 2019 landings and zero annual PPR. TL remains ?, not zero. No positive-catch classic PPR is unknown.</w:t>
      </w:r>
    </w:p>
    <w:p>
      <w:pPr>
        <w:keepNext w:val="0"/>
        <w:pageBreakBefore w:val="0"/>
        <w:spacing w:after="120"/>
      </w:pPr>
      <w:r>
        <w:t>Simple trophic chain: saved classic wet coefficient × catch ÷ 9 once. Percentages use the full unrounded independent denominator.</w:t>
      </w:r>
    </w:p>
    <w:p>
      <w:pPr>
        <w:keepNext w:val="0"/>
        <w:pageBreakBefore w:val="0"/>
        <w:spacing w:after="120"/>
      </w:pPr>
      <w:hyperlink r:id="rId24">
        <w:r>
          <w:rPr>
            <w:color w:val="0563C1"/>
            <w:u w:val="single"/>
          </w:rPr>
          <w:t>Complete taxon mapping appendix</w:t>
        </w:r>
      </w:hyperlink>
      <w:r>
        <w:t xml:space="preserve"> | </w:t>
      </w:r>
      <w:hyperlink r:id="rId25">
        <w:r>
          <w:rPr>
            <w:color w:val="0563C1"/>
            <w:u w:val="single"/>
          </w:rPr>
          <w:t>Descriptive Sources sheet</w:t>
        </w:r>
      </w:hyperlink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2304"/>
        <w:gridCol w:w="2376"/>
      </w:tblGrid>
      <w:tr>
        <w:trPr>
          <w:tblHeader/>
          <w:cantSplit/>
          <w:tblHeader/>
          <w:cantSplit/>
        </w:trPr>
        <w:tc>
          <w:tcPr>
            <w:tcW w:type="dxa" w:w="3888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Overall confidence</w:t>
            </w:r>
          </w:p>
        </w:tc>
        <w:tc>
          <w:tcPr>
            <w:tcW w:type="dxa" w:w="1440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Taxa</w:t>
            </w:r>
          </w:p>
        </w:tc>
        <w:tc>
          <w:tcPr>
            <w:tcW w:type="dxa" w:w="230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Catch percentage</w:t>
            </w:r>
          </w:p>
        </w:tc>
        <w:tc>
          <w:tcPr>
            <w:tcW w:type="dxa" w:w="2376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High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189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80.8313%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70.4960%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Medium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185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16.2260%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28.8022%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Low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  <w:tr>
        <w:trPr>
          <w:cantSplit/>
          <w:cantSplit/>
        </w:trPr>
        <w:tc>
          <w:tcPr>
            <w:tcW w:type="dxa" w:w="3888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Very low</w:t>
            </w:r>
          </w:p>
        </w:tc>
        <w:tc>
          <w:tcPr>
            <w:tcW w:type="dxa" w:w="1440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114</w:t>
            </w:r>
          </w:p>
        </w:tc>
        <w:tc>
          <w:tcPr>
            <w:tcW w:type="dxa" w:w="2304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2.9427%</w:t>
            </w:r>
          </w:p>
        </w:tc>
        <w:tc>
          <w:tcPr>
            <w:tcW w:type="dxa" w:w="2376"/>
            <w:shd w:fill="F5F7F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0.7018%</w:t>
            </w:r>
          </w:p>
        </w:tc>
      </w:tr>
      <w:tr>
        <w:trPr>
          <w:cantSplit/>
          <w:cantSplit/>
        </w:trPr>
        <w:tc>
          <w:tcPr>
            <w:tcW w:type="dxa" w:w="388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Unresolved</w:t>
            </w:r>
          </w:p>
        </w:tc>
        <w:tc>
          <w:tcPr>
            <w:tcW w:type="dxa" w:w="144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</w:t>
            </w:r>
          </w:p>
        </w:tc>
        <w:tc>
          <w:tcPr>
            <w:tcW w:type="dxa" w:w="230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  <w:tc>
          <w:tcPr>
            <w:tcW w:type="dxa" w:w="237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0.0000%</w:t>
            </w:r>
          </w:p>
        </w:tc>
      </w:tr>
    </w:tbl>
    <w:p>
      <w:pPr>
        <w:keepNext w:val="0"/>
        <w:pageBreakBefore w:val="0"/>
        <w:spacing w:after="120"/>
      </w:pPr>
      <w:r>
        <w:rPr>
          <w:rFonts w:ascii="Calibri" w:hAnsi="Calibri"/>
          <w:b w:val="0"/>
          <w:color w:val="000000"/>
          <w:sz w:val="21"/>
        </w:rPr>
        <w:t>The summary uses the weaker required membership or allocation confidence. The following tables show each component separately.</w:t>
      </w:r>
    </w:p>
    <w:p>
      <w:pPr>
        <w:keepNext/>
        <w:pageBreakBefore w:val="0"/>
        <w:spacing w:after="120"/>
      </w:pPr>
      <w:r>
        <w:rPr>
          <w:rFonts w:ascii="Calibri" w:hAnsi="Calibri"/>
          <w:b/>
          <w:color w:val="000000"/>
          <w:sz w:val="23"/>
        </w:rPr>
        <w:t>Group assignment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Explicit named source member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82.6349%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Broader label spans locally represented members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12.5318%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Operational generic source definition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1.8032%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source genus or family extension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1.0311%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Operational generic source definition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0.9707%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Broad reporting-category approximation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0.6399%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Verified accepted-name identity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0.3262%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Closest meaningful analogue with mismatches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Very low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0.0619%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Supported ecological connection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0.0003%</w:t>
            </w:r>
          </w:p>
        </w:tc>
      </w:tr>
    </w:tbl>
    <w:p>
      <w:pPr>
        <w:keepNext w:val="0"/>
        <w:pageBreakBefore w:val="0"/>
        <w:spacing w:after="120"/>
      </w:pPr>
      <w:r>
        <w:t xml:space="preserve">Each membership rule uses actual source definitions and reporting scope. </w:t>
      </w:r>
      <w:hyperlink r:id="rId26">
        <w:r>
          <w:rPr>
            <w:color w:val="0563C1"/>
            <w:u w:val="single"/>
          </w:rPr>
          <w:t>All candidate decisions and alternatives</w:t>
        </w:r>
      </w:hyperlink>
    </w:p>
    <w:p>
      <w:pPr>
        <w:keepNext/>
        <w:pageBreakBefore/>
        <w:spacing w:after="120"/>
      </w:pPr>
      <w:r>
        <w:rPr>
          <w:rFonts w:ascii="Calibri" w:hAnsi="Calibri"/>
          <w:b/>
          <w:color w:val="000000"/>
          <w:sz w:val="23"/>
        </w:rPr>
        <w:t>Allocation weight rules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624"/>
        <w:gridCol w:w="1512"/>
        <w:gridCol w:w="1872"/>
      </w:tblGrid>
      <w:tr>
        <w:trPr>
          <w:tblHeader/>
          <w:cantSplit/>
          <w:tblHeader/>
          <w:cantSplit/>
        </w:trPr>
        <w:tc>
          <w:tcPr>
            <w:tcW w:type="dxa" w:w="6624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000000"/>
                <w:sz w:val="20"/>
              </w:rPr>
              <w:t>Plain-language rule</w:t>
            </w:r>
          </w:p>
        </w:tc>
        <w:tc>
          <w:tcPr>
            <w:tcW w:type="dxa" w:w="151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Confidence</w:t>
            </w:r>
          </w:p>
        </w:tc>
        <w:tc>
          <w:tcPr>
            <w:tcW w:type="dxa" w:w="1872"/>
            <w:shd w:fill="DDE9EE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000000"/>
                <w:sz w:val="20"/>
              </w:rPr>
              <w:t>PPR percentage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One reviewed group, no numerical split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High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73.7268%</w:t>
            </w:r>
          </w:p>
        </w:tc>
      </w:tr>
      <w:tr>
        <w:trPr>
          <w:cantSplit/>
          <w:cantSplit/>
        </w:trPr>
        <w:tc>
          <w:tcPr>
            <w:tcW w:type="dxa" w:w="6624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</w:pPr>
            <w:r>
              <w:t>Complete accepted source catch proportions</w:t>
            </w:r>
          </w:p>
        </w:tc>
        <w:tc>
          <w:tcPr>
            <w:tcW w:type="dxa" w:w="151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Medium</w:t>
            </w:r>
          </w:p>
        </w:tc>
        <w:tc>
          <w:tcPr>
            <w:tcW w:type="dxa" w:w="187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before="40"/>
              <w:jc w:val="center"/>
            </w:pPr>
            <w:r>
              <w:t>26.2732%</w:t>
            </w:r>
          </w:p>
        </w:tc>
      </w:tr>
    </w:tbl>
    <w:p>
      <w:pPr>
        <w:keepNext w:val="0"/>
        <w:pageBreakBefore w:val="0"/>
        <w:spacing w:after="120"/>
      </w:pPr>
      <w:r>
        <w:t xml:space="preserve">113 multigroup labels use complete accepted 1985 landings + discards, including genuine zero candidates; Medium allocation confidence. No compatible whole-LME caught-mass composition or source stage threshold was found. The four accepted stage splits are preserved. These fixed guild proportions transfer across years, fleets, space and catch bases. </w:t>
      </w:r>
      <w:hyperlink r:id="rId27">
        <w:r>
          <w:rPr>
            <w:color w:val="0563C1"/>
            <w:u w:val="single"/>
          </w:rPr>
          <w:t>Exact weights and populations</w:t>
        </w:r>
      </w:hyperlink>
    </w:p>
    <w:p>
      <w:pPr>
        <w:keepNext w:val="0"/>
        <w:pageBreakBefore w:val="0"/>
        <w:spacing w:after="120"/>
      </w:pPr>
      <w:r>
        <w:t xml:space="preserve">Unresolved: none. Very low: 114 labels, 2.9427% of landings / 0.7018% of classic PPR. Broad residual fish/invertebrates, chimaeras, unlisted deep/freshwater fish and grazer gastropods carry explicit taxonomy, feeding and habitat mismatches. Their method shares are 5.17% GE / 4.77% With Egestion. Membership coverage does not establish ecological validity. </w:t>
      </w:r>
      <w:hyperlink r:id="rId28">
        <w:r>
          <w:rPr>
            <w:color w:val="0563C1"/>
            <w:u w:val="single"/>
          </w:rPr>
          <w:t>Exact weak taxa and reasons</w:t>
        </w:r>
      </w:hyperlink>
    </w:p>
    <w:p>
      <w:pPr>
        <w:pStyle w:val="Title"/>
        <w:pageBreakBefore/>
        <w:keepNext/>
        <w:pageBreakBefore/>
      </w:pPr>
      <w:r>
        <w:t>Geographic evidence screenshots</w:t>
      </w:r>
    </w:p>
    <w:p>
      <w:pPr>
        <w:spacing w:after="40" w:before="0" w:line="240" w:lineRule="auto"/>
      </w:pPr>
      <w:r>
        <w:t>Target R and study S are separate geographic objects. The red dashed source contour supports an approximate manual WGS84 trace clipped to shared coastline land; no authoritative digital study polygon was supplied.</w:t>
      </w:r>
    </w:p>
    <w:p>
      <w:pPr>
        <w:pStyle w:val="Heading2"/>
        <w:keepNext/>
      </w:pPr>
      <w:r>
        <w:t>Region area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Celtic-Biscay Shelf LME_024 target region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80" cy="41986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arget_region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41986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Target R: Sea Around Us LME24 boundary; geodesic area approximately 762,833 km². </w:t>
      </w:r>
      <w:r>
        <w:t xml:space="preserve"> </w:t>
      </w:r>
      <w:hyperlink r:id="rId31">
        <w:r>
          <w:rPr>
            <w:color w:val="0563C1"/>
            <w:u w:val="single"/>
          </w:rPr>
          <w:t>Target polygon</w:t>
        </w:r>
      </w:hyperlink>
      <w:r>
        <w:t xml:space="preserve"> | </w:t>
      </w:r>
      <w:hyperlink r:id="rId32">
        <w:r>
          <w:rPr>
            <w:color w:val="0563C1"/>
            <w:u w:val="single"/>
          </w:rPr>
          <w:t>Image</w:t>
        </w:r>
      </w:hyperlink>
    </w:p>
    <w:p>
      <w:pPr>
        <w:pStyle w:val="Heading2"/>
        <w:keepNext/>
        <w:pageBreakBefore/>
      </w:pPr>
      <w:r>
        <w:t>Study area in the article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37"/>
      </w:tblGrid>
      <w:tr>
        <w:trPr>
          <w:cantSplit/>
          <w:tblHeader/>
          <w:tblHeader/>
          <w:cantSplit/>
        </w:trPr>
        <w:tc>
          <w:tcPr>
            <w:tcW w:type="dxa" w:w="10037"/>
            <w:vAlign w:val="center"/>
            <w:shd w:fill="E5ECF0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/>
            </w:pPr>
            <w:r>
              <w:t>Celtic Sea shelf source contour — Figure 1</w:t>
            </w:r>
          </w:p>
        </w:tc>
      </w:tr>
      <w:tr>
        <w:trPr>
          <w:cantSplit/>
          <w:trHeight w:val="2880" w:hRule="atLeast"/>
          <w:cantSplit/>
        </w:trPr>
        <w:tc>
          <w:tcPr>
            <w:tcW w:type="dxa" w:w="10037"/>
            <w:vAlign w:val="center"/>
            <w:shd w:fill="FFFFFF"/>
            <w:tcMar>
              <w:top w:w="90" w:type="dxa"/>
              <w:bottom w:w="90" w:type="dxa"/>
              <w:left w:w="110" w:type="dxa"/>
              <w:right w:w="110" w:type="dxa"/>
            </w:tcMar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</w:tcPr>
          <w:p>
            <w:pPr>
              <w:spacing w:after="40" w:before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212080" cy="29226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ource_figure1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2080" cy="29226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before="0" w:line="240" w:lineRule="auto"/>
      </w:pPr>
      <w:r>
        <w:t xml:space="preserve">Hernvann et al. (2020), Figure1 p3: red dashed model domain is shelf shallower than 200 m, matching ICES7.e/f/g/h/j.2. The Bay of Biscay lies outside the source Celtic Sea shelf contour. </w:t>
      </w:r>
      <w:r>
        <w:t xml:space="preserve"> </w:t>
      </w:r>
      <w:hyperlink r:id="rId33">
        <w:r>
          <w:rPr>
            <w:color w:val="0563C1"/>
            <w:u w:val="single"/>
          </w:rPr>
          <w:t>Source PDF</w:t>
        </w:r>
      </w:hyperlink>
      <w:r>
        <w:t xml:space="preserve"> | </w:t>
      </w:r>
      <w:hyperlink r:id="rId34">
        <w:r>
          <w:rPr>
            <w:color w:val="0563C1"/>
            <w:u w:val="single"/>
          </w:rPr>
          <w:t>Original full page</w:t>
        </w:r>
      </w:hyperlink>
      <w:r>
        <w:t xml:space="preserve"> | </w:t>
      </w:r>
      <w:hyperlink r:id="rId35">
        <w:r>
          <w:rPr>
            <w:color w:val="0563C1"/>
            <w:u w:val="single"/>
          </w:rPr>
          <w:t>Figure image</w:t>
        </w:r>
      </w:hyperlink>
    </w:p>
    <w:p>
      <w:pPr>
        <w:spacing w:after="40" w:before="0" w:line="240" w:lineRule="auto"/>
      </w:pPr>
      <w:r>
        <w:t xml:space="preserve">Manual trace S≈232,138 km²; intersection≈231,021 km²: A≈30.3%, B≈99.5%. Use broad A25–35% and B95–100% ranges because contour/coastline digitization is approximate. Propose an explicitly approximate source-study display trace; preserve target and historical source material. </w:t>
      </w:r>
      <w:r>
        <w:t xml:space="preserve"> </w:t>
      </w:r>
      <w:hyperlink r:id="rId36">
        <w:r>
          <w:rPr>
            <w:color w:val="0563C1"/>
            <w:u w:val="single"/>
          </w:rPr>
          <w:t>Comparison</w:t>
        </w:r>
      </w:hyperlink>
      <w:r>
        <w:t xml:space="preserve"> | </w:t>
      </w:r>
      <w:hyperlink r:id="rId37">
        <w:r>
          <w:rPr>
            <w:color w:val="0563C1"/>
            <w:u w:val="single"/>
          </w:rPr>
          <w:t>Approximate trace</w:t>
        </w:r>
      </w:hyperlink>
    </w:p>
    <w:sectPr w:rsidR="00FC693F" w:rsidRPr="0006063C" w:rsidSect="00034616">
      <w:type w:val="nextPage"/>
      <w:pgSz w:w="11909" w:h="16834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7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Validation1" Type="http://schemas.openxmlformats.org/officeDocument/2006/relationships/hyperlink" Target="[Excel_appendix.xlsx]" TargetMode="External"/><Relationship Id="rId9" Type="http://schemas.openxmlformats.org/officeDocument/2006/relationships/hyperlink" Target="LME_024.xlsx" TargetMode="External"/><Relationship Id="rId10" Type="http://schemas.openxmlformats.org/officeDocument/2006/relationships/hyperlink" Target="raw" TargetMode="External"/><Relationship Id="rId11" Type="http://schemas.openxmlformats.org/officeDocument/2006/relationships/hyperlink" Target="https://doi.org/10.3389/fmars.2020.578717" TargetMode="External"/><Relationship Id="rId12" Type="http://schemas.openxmlformats.org/officeDocument/2006/relationships/hyperlink" Target="papers/LME024-Hernvann-2020/pdf-fbcccb63.pdf" TargetMode="External"/><Relationship Id="rId13" Type="http://schemas.openxmlformats.org/officeDocument/2006/relationships/hyperlink" Target="papers/LME024-Hernvann-2020/Data_Sheet_1_TheCelticSeaThroughTimeandSpa-165f24b6.docx" TargetMode="External"/><Relationship Id="rId14" Type="http://schemas.openxmlformats.org/officeDocument/2006/relationships/hyperlink" Target="https://doi.org/10.13140/RG.2.2.26937.36965" TargetMode="External"/><Relationship Id="rId15" Type="http://schemas.openxmlformats.org/officeDocument/2006/relationships/hyperlink" Target="https://doi.org/10.1016/j.jmarsys.2017.03.008" TargetMode="External"/><Relationship Id="rId16" Type="http://schemas.openxmlformats.org/officeDocument/2006/relationships/hyperlink" Target="models/Hernvann_2020_Celtic_Sea_1985/model.json" TargetMode="External"/><Relationship Id="rId17" Type="http://schemas.openxmlformats.org/officeDocument/2006/relationships/hyperlink" Target="models/extraction_review_20260928/authorized_routing_experiment" TargetMode="External"/><Relationship Id="rId18" Type="http://schemas.openxmlformats.org/officeDocument/2006/relationships/hyperlink" Target="validation_reports/Hernvann_2020_Celtic_Sea_1985/source_review.md#source-layers-and-scientific-limitations" TargetMode="External"/><Relationship Id="rId19" Type="http://schemas.openxmlformats.org/officeDocument/2006/relationships/hyperlink" Target="models/extraction_review_20260928/REPORT.md" TargetMode="External"/><Relationship Id="rId20" Type="http://schemas.openxmlformats.org/officeDocument/2006/relationships/hyperlink" Target="validation_reports/Hernvann_2020_Celtic_Sea_1985/matrix_inspection.json" TargetMode="External"/><Relationship Id="rId21" Type="http://schemas.openxmlformats.org/officeDocument/2006/relationships/hyperlink" Target="models/Hernvann_2020_Celtic_Sea_1985/integration_20260928/direct_reports.json" TargetMode="External"/><Relationship Id="rId22" Type="http://schemas.openxmlformats.org/officeDocument/2006/relationships/hyperlink" Target="validation_reports/Hernvann_2020_Celtic_Sea_1985/geography/geographic_assessment.json" TargetMode="External"/><Relationship Id="rId23" Type="http://schemas.openxmlformats.org/officeDocument/2006/relationships/hyperlink" Target="validation_reports/Hernvann_2020_Celtic_Sea_1985/method_exposure.json" TargetMode="External"/><Relationship Id="rId24" Type="http://schemas.openxmlformats.org/officeDocument/2006/relationships/hyperlink" Target="LME024_taxon_mapping_appendix.xlsx" TargetMode="External"/><Relationship Id="rId25" Type="http://schemas.openxmlformats.org/officeDocument/2006/relationships/hyperlink" Target="LME024_taxon_mapping_appendix.xlsx#Sources%21A1" TargetMode="External"/><Relationship Id="rId26" Type="http://schemas.openxmlformats.org/officeDocument/2006/relationships/hyperlink" Target="validation_reports/Hernvann_2020_Celtic_Sea_1985/taxon_audit.json" TargetMode="External"/><Relationship Id="rId27" Type="http://schemas.openxmlformats.org/officeDocument/2006/relationships/hyperlink" Target="validation_reports/Hernvann_2020_Celtic_Sea_1985/allocation_evidence.json" TargetMode="External"/><Relationship Id="rId28" Type="http://schemas.openxmlformats.org/officeDocument/2006/relationships/hyperlink" Target="LME024_taxon_mapping_appendix.xlsx#%27Taxon%20mapping%27%21A1" TargetMode="External"/><Relationship Id="rId29" Type="http://schemas.openxmlformats.org/officeDocument/2006/relationships/image" Target="media/image1.png"/><Relationship Id="rId30" Type="http://schemas.openxmlformats.org/officeDocument/2006/relationships/image" Target="media/image2.png"/><Relationship Id="rId31" Type="http://schemas.openxmlformats.org/officeDocument/2006/relationships/hyperlink" Target="validation_reports/Hernvann_2020_Celtic_Sea_1985/geography/target_region.geojson" TargetMode="External"/><Relationship Id="rId32" Type="http://schemas.openxmlformats.org/officeDocument/2006/relationships/hyperlink" Target="validation_reports/Hernvann_2020_Celtic_Sea_1985/geography/target_region.png" TargetMode="External"/><Relationship Id="rId33" Type="http://schemas.openxmlformats.org/officeDocument/2006/relationships/hyperlink" Target="papers/LME024-Hernvann-2020/pdf-fbcccb63.pdf#page=3" TargetMode="External"/><Relationship Id="rId34" Type="http://schemas.openxmlformats.org/officeDocument/2006/relationships/hyperlink" Target="validation_reports/Hernvann_2020_Celtic_Sea_1985/geography/source_page_3.png" TargetMode="External"/><Relationship Id="rId35" Type="http://schemas.openxmlformats.org/officeDocument/2006/relationships/hyperlink" Target="validation_reports/Hernvann_2020_Celtic_Sea_1985/geography/source_figure1.png" TargetMode="External"/><Relationship Id="rId36" Type="http://schemas.openxmlformats.org/officeDocument/2006/relationships/hyperlink" Target="validation_reports/Hernvann_2020_Celtic_Sea_1985/geography/comparison.png" TargetMode="External"/><Relationship Id="rId37" Type="http://schemas.openxmlformats.org/officeDocument/2006/relationships/hyperlink" Target="validation_reports/Hernvann_2020_Celtic_Sea_1985/geography/study_area_trace.geojs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Regional model validation template</dc:title>
  <dc:subject>Reusable evidence summary and LLM completion instructions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