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Guinea Current model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Guinea Current, LME_028; Sea Around Us target boundary.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v 50.1 catch series, 1950–2019; retained API 88 material dated 3 September 2026. Reference: 2019 landings, including reported/unreported retained catch; discards separate.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Raw catch</w:t>
              </w:r>
            </w:hyperlink>
            <w:r>
              <w:t xml:space="preserve"> | </w:t>
            </w:r>
            <w:hyperlink r:id="rId11">
              <w:r>
                <w:rPr>
                  <w:color w:val="0563C1"/>
                  <w:u w:val="single"/>
                </w:rPr>
                <w:t>Taxon/TL source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Guénette &amp; Diallo (2004), Addendum: Modèles de la côte guinéenne, 1985 et 1998, pp.124–159. In Palomares &amp; Pauly (eds.), West African marine ecosystems: models and fisheries impacts, FCRR 12(7).</w:t>
            </w:r>
            <w:r>
              <w:t xml:space="preserve"> </w:t>
            </w:r>
            <w:hyperlink r:id="rId12">
              <w:r>
                <w:rPr>
                  <w:color w:val="0563C1"/>
                  <w:u w:val="single"/>
                </w:rPr>
                <w:t>Chapter PDF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Paper folder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Gascuel, Guénette, Diallo &amp; Sidibé (2009), Impact de la pêche sur l’écosystème marin de Guinée – Modélisation EwE 1985/2005, FCRR 17(4), 60 printed pages. The title says 1985/2005; Ecopath construction and Table 3 specify 1985/2004.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2009 report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28_646_Guinea_(1998); 1998, waters off the Republic of Guinea, 111,932 km². 44 ecological source groups plus synthetic diet_import 45. This is a national coastal/offshore model transferred to the full LME.</w:t>
            </w:r>
            <w:r>
              <w:t xml:space="preserve"> </w:t>
            </w:r>
            <w:hyperlink r:id="rId15">
              <w:r>
                <w:rPr>
                  <w:color w:val="0563C1"/>
                  <w:u w:val="single"/>
                </w:rPr>
                <w:t>Selected JSON</w:t>
              </w:r>
            </w:hyperlink>
            <w:r>
              <w:t xml:space="preserve"> | </w:t>
            </w:r>
            <w:hyperlink r:id="rId16">
              <w:r>
                <w:rPr>
                  <w:color w:val="0563C1"/>
                  <w:u w:val="single"/>
                </w:rPr>
                <w:t>Model folder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The chapter also presents a 44-group 1985 counterpart derived from balanced 1998, with reconstructed early catches. Stored 28_726_Guinea_(1985) is the distinct 35-group, 42,969 km² shelf revision in the 2009 report. Hash-suffixed copies are extraction identities, not extra baselines.</w:t>
            </w:r>
            <w:r>
              <w:t xml:space="preserve"> </w:t>
            </w:r>
            <w:hyperlink r:id="rId17">
              <w:r>
                <w:rPr>
                  <w:color w:val="0563C1"/>
                  <w:u w:val="single"/>
                </w:rPr>
                <w:t>Stored 1985 identity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Article: ? (separate article-choice rationale unrecorded). Model: recorded rationale is geographic transfer requiring overlap validation. The source supports preferring 1998 over 1985 because contemporary landing/biomass estimates were available; the earlier model has greater catch-reconstruction uncertainty.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Accepted canonical parameters retained. Native database JSON differs only in 44 added taxonomy descriptions. Table 9 (p.143/PDF 147) has 13 B/EE values outside strict printed-rounding bounds; PB/QB agree at displayed precision. Oiseaux TL 3.77 differs from accepted calculated 3.545. Coarse diets and reconstructed catch/discards remain limitations. Inherited diet normalization changes cells by at most 3.07×10⁻⁸; default GS, derived BA and import 45 remain accepted conventions.</w:t>
            </w:r>
            <w:r>
              <w:t xml:space="preserve"> </w:t>
            </w:r>
            <w:hyperlink r:id="rId18">
              <w:r>
                <w:rPr>
                  <w:color w:val="0563C1"/>
                  <w:u w:val="single"/>
                </w:rPr>
                <w:t>Source/runtime comparison</w:t>
              </w:r>
            </w:hyperlink>
            <w:r>
              <w:t xml:space="preserve"> | </w:t>
            </w:r>
            <w:hyperlink r:id="rId19">
              <w:r>
                <w:rPr>
                  <w:color w:val="0563C1"/>
                  <w:u w:val="single"/>
                </w:rPr>
                <w:t>Table9 differences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columns, including unfished groups. rho_living=0.44972255; b=0.35481349; Detritus (44) SPPR=1.77921290.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columns, including unfished groups. rho_living=0.71757128; Detritus (44) SPPR=0.42594772.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Approximate A: 5–7% of the region covered by the study. B: 95–100% of the study inside the region.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Static 1998 coefficients and historical mixture weights are applied across 1950–2019. The reference year is 21 years later; annual ecosystem/fleet changes are not reconstructed.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TE retains its implausibility warning: the deep large shark/ray pool has an extreme coefficient. Symbolic negative-source failures, Monte Carlo implausibility flags and unavailable source decompositions remain. Full catch mapping does not establish whole-LME ecological validity.</w:t>
            </w:r>
            <w:r>
              <w:t xml:space="preserve"> </w:t>
            </w:r>
            <w:hyperlink r:id="rId20">
              <w:r>
                <w:rPr>
                  <w:color w:val="0563C1"/>
                  <w:u w:val="single"/>
                </w:rPr>
                <w:t>Method-specific exposure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 2019 landings; all exact catch labels, including unidentified and zero-catch records; no taxon or group filter.</w:t>
      </w:r>
    </w:p>
    <w:p>
      <w:pPr>
        <w:keepNext w:val="0"/>
        <w:pageBreakBefore w:val="0"/>
        <w:spacing w:after="120"/>
      </w:pPr>
      <w:r>
        <w:t>44 source ecological groups (+1 computational import); 375 catch labels.</w:t>
      </w:r>
    </w:p>
    <w:p>
      <w:pPr>
        <w:keepNext w:val="0"/>
        <w:pageBreakBefore w:val="0"/>
        <w:spacing w:after="120"/>
      </w:pPr>
      <w:r>
        <w:t>Simple-chain PPR totals 202,194,055.86 t C in 2019.</w:t>
      </w:r>
    </w:p>
    <w:p>
      <w:pPr>
        <w:keepNext w:val="0"/>
        <w:pageBreakBefore w:val="0"/>
        <w:spacing w:after="120"/>
      </w:pPr>
      <w:r>
        <w:t>50 labels lack a saved classic coefficient/TL; all have zero 2019 landings and therefore zero annual PPR. Unavailable TL remains ?, not zero.</w:t>
      </w:r>
    </w:p>
    <w:p>
      <w:pPr>
        <w:keepNext w:val="0"/>
        <w:pageBreakBefore w:val="0"/>
        <w:spacing w:after="120"/>
      </w:pPr>
      <w:r>
        <w:t>Method: independent classic/simple trophic chain using the saved taxon coefficient.</w:t>
      </w:r>
    </w:p>
    <w:p>
      <w:pPr>
        <w:keepNext w:val="0"/>
        <w:pageBreakBefore w:val="0"/>
        <w:spacing w:after="120"/>
      </w:pPr>
      <w:hyperlink r:id="rId21">
        <w:r>
          <w:rPr>
            <w:color w:val="0563C1"/>
            <w:u w:val="single"/>
          </w:rPr>
          <w:t>Full taxon mapping appendix</w:t>
        </w:r>
      </w:hyperlink>
      <w:r>
        <w:t xml:space="preserve"> and </w:t>
      </w:r>
      <w:hyperlink r:id="rId22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159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37.1304%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50.9112%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107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17.4133%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24.1215%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7.0456%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9.3463%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77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38.4107%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15.6210%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Exact source member in every documented applicable group.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49.2426%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Complete actual source representative union supports a higher label or stage mixture; local composition inferred.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30.4993%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Broad reporting category approximated over compatible named and residual source pools; caught composition unknown.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15.0201%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Taxonomic extension from source congeneric representatives; unlisted membership assumed.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2.9685%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taxon fits the explicit source compartment without a competing specific placement.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1.2596%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Closest positive taxonomic or habitat analogue; unrepresented habitat, size or taxon mismatch disclosed.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0.6009%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accepted synonym connects the catch label to a printed member.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0.4091%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23">
        <w:r>
          <w:rPr>
            <w:color w:val="0563C1"/>
            <w:u w:val="single"/>
          </w:rPr>
          <w:t>source members, taxonomy and complete candidate decisions</w:t>
        </w:r>
      </w:hyperlink>
      <w:r>
        <w:t xml:space="preserve"> Broad bony fish includes named stocks and deep/pelagic members; dedicated cartilage groups are excluded. Elasmobranchii excludes chimaeras. Broad invertebrate sets review actual euphausiids, benthos and larval stages.</w:t>
      </w:r>
      <w:r>
        <w:t xml:space="preserve"> Scaridae denotes the historical parrotfish family, now Scarinae within Labridae; the genus-misspelling homonym is excluded. </w:t>
      </w:r>
      <w:hyperlink r:id="rIdScaridaeRankBridge">
        <w:r>
          <w:rPr>
            <w:color w:val="0563C1"/>
            <w:u w:val="single"/>
          </w:rPr>
          <w:t>Scaridae rank bridge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One reviewed group; no numerical split.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74.7211%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Complete accepted 1998 group-export catch proportions; historical mixture/catchability assumed.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15.7985%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Retained whole-period single-group donor total-catch proxy; reporting/population mismatch assessed separately.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9.4805%</w:t>
            </w:r>
          </w:p>
        </w:tc>
      </w:tr>
    </w:tbl>
    <w:p>
      <w:pPr>
        <w:keepNext w:val="0"/>
        <w:pageBreakBefore w:val="0"/>
        <w:spacing w:after="120"/>
      </w:pPr>
      <w:r>
        <w:t xml:space="preserve">Each rule percentage is the share of the complete independent simple-chain PPR universe. Overall confidence is the weaker membership/allocation component. All 71 split labels retain explicit assumptions: 37 use complete 1998 model catch proportions; 34 preserve donor total-catch weights at Low confidence. Fixed mixtures are transferred across all years/bases. </w:t>
      </w:r>
      <w:hyperlink r:id="rId24">
        <w:r>
          <w:rPr>
            <w:color w:val="0563C1"/>
            <w:u w:val="single"/>
          </w:rPr>
          <w:t>Allocation and donor applicability evidence</w:t>
        </w:r>
      </w:hyperlink>
    </w:p>
    <w:p>
      <w:pPr>
        <w:keepNext w:val="0"/>
        <w:pageBreakBefore w:val="0"/>
        <w:spacing w:after="120"/>
      </w:pPr>
      <w:r>
        <w:t xml:space="preserve">No unresolved taxa remain. Very low: 77 labels, 38.4107% of landings and 15.6210% of classic PPR. Broad mixtures and unlisted depth/taxonomic analogues, including freshwater tilapias/cyprinids and chimaeras, are flagged individually in the appendix. The excluded TE arithmetic estimate is 4.5717 billion t C; Elasmobranchii contributes 23.6895%, Prionace glauca 13.2955% and Sphyrna zygaena 10.0636%. Explicit shark membership is retained; the extreme pooled coefficient and Low donor mixture make TE scientifically implausible. </w:t>
      </w:r>
      <w:hyperlink r:id="rId20">
        <w:r>
          <w:rPr>
            <w:color w:val="0563C1"/>
            <w:u w:val="single"/>
          </w:rPr>
          <w:t>Actual method contributions</w:t>
        </w:r>
      </w:hyperlink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R is the full Guinea Current LME; S is the study waters off Guinea. The graticule trace and ordered coastline approximate the original figure. Nine source-visible water controls test both sides of the maritime limits and coastal water; these ranges are not statistical intervals.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Guinea Current target region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72000" cy="36325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regio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6325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Sea Around Us LME 28 target R: 1,918,762 km². </w:t>
      </w:r>
      <w:r>
        <w:t xml:space="preserve"> </w:t>
      </w:r>
      <w:hyperlink r:id="rId27">
        <w:r>
          <w:rPr>
            <w:color w:val="0563C1"/>
            <w:u w:val="single"/>
          </w:rPr>
          <w:t>Target boundary</w:t>
        </w:r>
      </w:hyperlink>
      <w:r>
        <w:t xml:space="preserve"> | </w:t>
      </w:r>
      <w:hyperlink r:id="rId28">
        <w:r>
          <w:rPr>
            <w:color w:val="0563C1"/>
            <w:u w:val="single"/>
          </w:rPr>
          <w:t>Map image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Original Guinea study area Figure 1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97680" cy="426156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iginal_figure1_crop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42615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Guénette &amp; Diallo 2004 Figure 1, printedp.124/PDF 128. The model covers waters off the Republic of Guinea; the LME continues far beyond the study. Source-reported area is 111,932 km². </w:t>
      </w:r>
      <w:r>
        <w:t xml:space="preserve"> </w:t>
      </w:r>
      <w:hyperlink r:id="rId12">
        <w:r>
          <w:rPr>
            <w:color w:val="0563C1"/>
            <w:u w:val="single"/>
          </w:rPr>
          <w:t>Original source</w:t>
        </w:r>
      </w:hyperlink>
      <w:r>
        <w:t xml:space="preserve"> | </w:t>
      </w:r>
      <w:hyperlink r:id="rId29">
        <w:r>
          <w:rPr>
            <w:color w:val="0563C1"/>
            <w:u w:val="single"/>
          </w:rPr>
          <w:t>Geographic assessment</w:t>
        </w:r>
      </w:hyperlink>
    </w:p>
    <w:p>
      <w:pPr>
        <w:pageBreakBefore/>
        <w:spacing w:after="40" w:before="0" w:line="240" w:lineRule="auto"/>
      </w:pPr>
      <w:r>
        <w:t xml:space="preserve">Approximate source-boundary comparison: reconstructed marine area 109,016 km², A≈5.64%, B≈99.28%; coarse report ranges 5–7% and 95–100% reflect line/coast uncertainty. The calibrated western corner and two real boundary bends follow the printed outline; markers/annotations were not water exclusions. </w:t>
      </w:r>
      <w:hyperlink r:id="rId30">
        <w:r>
          <w:rPr>
            <w:color w:val="0563C1"/>
            <w:u w:val="single"/>
          </w:rPr>
          <w:t>Reconstructed polygon</w:t>
        </w:r>
      </w:hyperlink>
      <w:r>
        <w:br/>
      </w:r>
      <w:r>
        <w:drawing>
          <wp:inline xmlns:a="http://schemas.openxmlformats.org/drawingml/2006/main" xmlns:pic="http://schemas.openxmlformats.org/drawingml/2006/picture">
            <wp:extent cx="4389120" cy="34872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724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LME_028.xlsx" TargetMode="External"/><Relationship Id="rId10" Type="http://schemas.openxmlformats.org/officeDocument/2006/relationships/hyperlink" Target="raw/LME_028-catch.zip" TargetMode="External"/><Relationship Id="rId11" Type="http://schemas.openxmlformats.org/officeDocument/2006/relationships/hyperlink" Target="raw/LME_028-exploited.json" TargetMode="External"/><Relationship Id="rId12" Type="http://schemas.openxmlformats.org/officeDocument/2006/relationships/hyperlink" Target="papers/GUI-2004/Palomares-et-al-west-africa-ecosystems-bd6604d6.pdf#page=128" TargetMode="External"/><Relationship Id="rId13" Type="http://schemas.openxmlformats.org/officeDocument/2006/relationships/hyperlink" Target="papers/GUI-2004" TargetMode="External"/><Relationship Id="rId14" Type="http://schemas.openxmlformats.org/officeDocument/2006/relationships/hyperlink" Target="papers/LME028-Gascuel-2009/3506-cb3ad007.pdf" TargetMode="External"/><Relationship Id="rId15" Type="http://schemas.openxmlformats.org/officeDocument/2006/relationships/hyperlink" Target="models/28_646_Guinea_%281998%29/model.json" TargetMode="External"/><Relationship Id="rId16" Type="http://schemas.openxmlformats.org/officeDocument/2006/relationships/hyperlink" Target="models/28_646_Guinea_%281998%29" TargetMode="External"/><Relationship Id="rId17" Type="http://schemas.openxmlformats.org/officeDocument/2006/relationships/hyperlink" Target="validation_reports/28_646_Guinea_%281998%29/alternative_1985_source_identity.json" TargetMode="External"/><Relationship Id="rId18" Type="http://schemas.openxmlformats.org/officeDocument/2006/relationships/hyperlink" Target="validation_reports/28_646_Guinea_%281998%29/source_review.md" TargetMode="External"/><Relationship Id="rId19" Type="http://schemas.openxmlformats.org/officeDocument/2006/relationships/hyperlink" Target="validation_reports/28_646_Guinea_%281998%29/source_parameter_differences.json" TargetMode="External"/><Relationship Id="rId20" Type="http://schemas.openxmlformats.org/officeDocument/2006/relationships/hyperlink" Target="validation_reports/28_646_Guinea_%281998%29/method_contribution_exposure.json" TargetMode="External"/><Relationship Id="rId21" Type="http://schemas.openxmlformats.org/officeDocument/2006/relationships/hyperlink" Target="LME028_taxon_mapping_appendix.xlsx" TargetMode="External"/><Relationship Id="rId22" Type="http://schemas.openxmlformats.org/officeDocument/2006/relationships/hyperlink" Target="LME028_taxon_mapping_appendix.xlsx#Sources%21A1" TargetMode="External"/><Relationship Id="rId23" Type="http://schemas.openxmlformats.org/officeDocument/2006/relationships/hyperlink" Target="validation_reports/28_646_Guinea_%281998%29/taxon_audit.json" TargetMode="External"/><Relationship Id="rId24" Type="http://schemas.openxmlformats.org/officeDocument/2006/relationships/hyperlink" Target="validation_reports/28_646_Guinea_%281998%29/allocation_evidence.json" TargetMode="External"/><Relationship Id="rId25" Type="http://schemas.openxmlformats.org/officeDocument/2006/relationships/image" Target="media/image1.png"/><Relationship Id="rId26" Type="http://schemas.openxmlformats.org/officeDocument/2006/relationships/image" Target="media/image2.png"/><Relationship Id="rId27" Type="http://schemas.openxmlformats.org/officeDocument/2006/relationships/hyperlink" Target="validation_reports/28_646_Guinea_%281998%29/geography/target_region.geojson" TargetMode="External"/><Relationship Id="rId28" Type="http://schemas.openxmlformats.org/officeDocument/2006/relationships/hyperlink" Target="validation_reports/28_646_Guinea_%281998%29/geography/target_region.png" TargetMode="External"/><Relationship Id="rId29" Type="http://schemas.openxmlformats.org/officeDocument/2006/relationships/hyperlink" Target="validation_reports/28_646_Guinea_%281998%29/geography/geographic_assessment.json" TargetMode="External"/><Relationship Id="rId30" Type="http://schemas.openxmlformats.org/officeDocument/2006/relationships/hyperlink" Target="validation_reports/28_646_Guinea_%281998%29/geography/study_area_reconstructed.geojson" TargetMode="External"/><Relationship Id="rId31" Type="http://schemas.openxmlformats.org/officeDocument/2006/relationships/image" Target="media/image3.png"/><Relationship Id="rIdScaridaeRankBridge" Type="http://schemas.openxmlformats.org/officeDocument/2006/relationships/hyperlink" Target="validation_reports/28_646_Guinea_%281998%29/taxonomy_rank_followup/primary_authority_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